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Arial" w:hAnsi="Arial" w:cs="Arial"/>
          <w:sz w:val="22"/>
          <w:szCs w:val="22"/>
        </w:rPr>
      </w:pPr>
      <w:bookmarkStart w:id="37" w:name="_GoBack"/>
      <w:bookmarkEnd w:id="37"/>
    </w:p>
    <w:p>
      <w:pPr>
        <w:pStyle w:val="4"/>
        <w:rPr>
          <w:rFonts w:ascii="Arial" w:hAnsi="Arial" w:cs="Arial"/>
          <w:sz w:val="28"/>
          <w:szCs w:val="28"/>
        </w:rPr>
      </w:pPr>
      <w:r>
        <w:rPr>
          <w:rFonts w:ascii="Arial" w:hAnsi="Arial" w:cs="Arial"/>
          <w:sz w:val="28"/>
          <w:szCs w:val="28"/>
        </w:rPr>
        <w:t>MWGFD e.V., D4CE, ÄfA</w:t>
      </w:r>
      <w:r>
        <w:rPr>
          <w:rFonts w:ascii="Arial" w:hAnsi="Arial" w:cs="Arial"/>
          <w:sz w:val="28"/>
          <w:szCs w:val="28"/>
        </w:rPr>
        <w:br w:type="textWrapping"/>
      </w:r>
      <w:r>
        <w:rPr>
          <w:rFonts w:ascii="Arial" w:hAnsi="Arial" w:cs="Arial"/>
          <w:sz w:val="28"/>
          <w:szCs w:val="28"/>
        </w:rPr>
        <w:t>Wittgasse 9</w:t>
      </w:r>
      <w:r>
        <w:rPr>
          <w:rFonts w:ascii="Arial" w:hAnsi="Arial" w:cs="Arial"/>
          <w:sz w:val="28"/>
          <w:szCs w:val="28"/>
        </w:rPr>
        <w:br w:type="textWrapping"/>
      </w:r>
      <w:r>
        <w:rPr>
          <w:rFonts w:ascii="Arial" w:hAnsi="Arial" w:cs="Arial"/>
          <w:sz w:val="28"/>
          <w:szCs w:val="28"/>
        </w:rPr>
        <w:t>94032 Passau</w:t>
      </w:r>
    </w:p>
    <w:p>
      <w:pPr>
        <w:pStyle w:val="4"/>
        <w:rPr>
          <w:rFonts w:ascii="Arial" w:hAnsi="Arial" w:cs="Arial"/>
          <w:sz w:val="22"/>
          <w:szCs w:val="22"/>
        </w:rPr>
      </w:pPr>
      <w:r>
        <w:rPr>
          <w:rFonts w:ascii="Arial" w:hAnsi="Arial" w:cs="Arial"/>
          <w:sz w:val="22"/>
          <w:szCs w:val="22"/>
        </w:rPr>
        <w:tab/>
      </w:r>
      <w:r>
        <w:rPr>
          <w:rFonts w:ascii="Arial" w:hAnsi="Arial" w:cs="Arial"/>
          <w:sz w:val="22"/>
          <w:szCs w:val="22"/>
        </w:rPr>
        <w:tab/>
      </w:r>
    </w:p>
    <w:p>
      <w:pPr>
        <w:pStyle w:val="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pStyle w:val="4"/>
        <w:rPr>
          <w:rFonts w:ascii="Arial" w:hAnsi="Arial" w:cs="Arial"/>
          <w:sz w:val="18"/>
          <w:szCs w:val="18"/>
          <w:u w:val="single"/>
        </w:rPr>
      </w:pPr>
      <w:r>
        <w:rPr>
          <w:rFonts w:ascii="Arial" w:hAnsi="Arial" w:cs="Arial"/>
          <w:sz w:val="18"/>
          <w:szCs w:val="18"/>
          <w:u w:val="single"/>
        </w:rPr>
        <w:t>MWGFD e.V. und D4CE, Wittgasse 9, 94032 Passau</w:t>
      </w:r>
    </w:p>
    <w:p>
      <w:pPr>
        <w:pStyle w:val="4"/>
        <w:rPr>
          <w:rFonts w:ascii="Arial" w:hAnsi="Arial" w:cs="Arial"/>
          <w:sz w:val="22"/>
          <w:szCs w:val="22"/>
        </w:rPr>
      </w:pPr>
      <w:r>
        <w:rPr>
          <w:rFonts w:ascii="Arial" w:hAnsi="Arial" w:cs="Arial"/>
          <w:b/>
          <w:bCs/>
          <w:sz w:val="22"/>
          <w:szCs w:val="22"/>
        </w:rPr>
        <w:t>Herrn / Frau</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Passau, den 6. November 2021</w:t>
      </w:r>
      <w:r>
        <w:rPr>
          <w:rFonts w:ascii="Arial" w:hAnsi="Arial" w:cs="Arial"/>
          <w:sz w:val="22"/>
          <w:szCs w:val="22"/>
        </w:rPr>
        <w:t xml:space="preserve"> </w:t>
      </w:r>
    </w:p>
    <w:p>
      <w:pPr>
        <w:pStyle w:val="4"/>
        <w:rPr>
          <w:rFonts w:ascii="Arial" w:hAnsi="Arial" w:cs="Arial"/>
          <w:b/>
          <w:bCs/>
          <w:sz w:val="22"/>
          <w:szCs w:val="22"/>
        </w:rPr>
      </w:pPr>
      <w:r>
        <w:rPr>
          <w:rFonts w:ascii="Arial" w:hAnsi="Arial" w:cs="Arial"/>
          <w:b/>
          <w:bCs/>
          <w:sz w:val="22"/>
          <w:szCs w:val="22"/>
        </w:rPr>
        <w:t>Vorname Name</w:t>
      </w:r>
    </w:p>
    <w:p>
      <w:pPr>
        <w:pStyle w:val="4"/>
        <w:rPr>
          <w:rFonts w:ascii="Arial" w:hAnsi="Arial" w:cs="Arial"/>
          <w:b/>
          <w:bCs/>
          <w:sz w:val="22"/>
          <w:szCs w:val="22"/>
        </w:rPr>
      </w:pPr>
      <w:r>
        <w:rPr>
          <w:rFonts w:ascii="Arial" w:hAnsi="Arial" w:cs="Arial"/>
          <w:b/>
          <w:bCs/>
          <w:sz w:val="22"/>
          <w:szCs w:val="22"/>
        </w:rPr>
        <w:t>Strasse</w:t>
      </w:r>
    </w:p>
    <w:p>
      <w:pPr>
        <w:pStyle w:val="4"/>
        <w:rPr>
          <w:rFonts w:ascii="Arial" w:hAnsi="Arial" w:cs="Arial"/>
          <w:b/>
          <w:bCs/>
          <w:sz w:val="22"/>
          <w:szCs w:val="22"/>
        </w:rPr>
      </w:pPr>
      <w:r>
        <w:rPr>
          <w:rFonts w:ascii="Arial" w:hAnsi="Arial" w:cs="Arial"/>
          <w:b/>
          <w:bCs/>
          <w:sz w:val="22"/>
          <w:szCs w:val="22"/>
        </w:rPr>
        <w:t>Ort</w:t>
      </w:r>
    </w:p>
    <w:p>
      <w:pPr>
        <w:pStyle w:val="4"/>
        <w:rPr>
          <w:rFonts w:ascii="Arial" w:hAnsi="Arial" w:cs="Arial"/>
          <w:sz w:val="22"/>
          <w:szCs w:val="22"/>
        </w:rPr>
      </w:pPr>
    </w:p>
    <w:p>
      <w:pPr>
        <w:pStyle w:val="4"/>
        <w:rPr>
          <w:rFonts w:ascii="Arial" w:hAnsi="Arial" w:cs="Arial"/>
          <w:b/>
          <w:sz w:val="28"/>
          <w:szCs w:val="28"/>
        </w:rPr>
      </w:pPr>
      <w:r>
        <w:rPr>
          <w:rFonts w:ascii="Arial" w:hAnsi="Arial" w:cs="Arial"/>
          <w:sz w:val="28"/>
          <w:szCs w:val="28"/>
        </w:rPr>
        <w:t>Betreff:</w:t>
      </w:r>
      <w:r>
        <w:rPr>
          <w:rFonts w:ascii="Arial" w:hAnsi="Arial" w:cs="Arial"/>
          <w:b/>
          <w:sz w:val="28"/>
          <w:szCs w:val="28"/>
        </w:rPr>
        <w:t xml:space="preserve"> </w:t>
      </w:r>
      <w:r>
        <w:rPr>
          <w:rFonts w:ascii="Arial" w:hAnsi="Arial" w:cs="Arial"/>
          <w:sz w:val="22"/>
          <w:szCs w:val="22"/>
        </w:rPr>
        <w:t>Ihnen persönlich zugestellter</w:t>
      </w:r>
      <w:r>
        <w:rPr>
          <w:rFonts w:ascii="Arial" w:hAnsi="Arial" w:cs="Arial"/>
          <w:b/>
          <w:sz w:val="28"/>
          <w:szCs w:val="28"/>
        </w:rPr>
        <w:t xml:space="preserve"> Haftungsbescheid </w:t>
      </w:r>
    </w:p>
    <w:p>
      <w:pPr>
        <w:pStyle w:val="4"/>
        <w:rPr>
          <w:rFonts w:ascii="Arial" w:hAnsi="Arial" w:cs="Arial"/>
          <w:sz w:val="22"/>
          <w:szCs w:val="22"/>
        </w:rPr>
      </w:pPr>
      <w:r>
        <w:rPr>
          <w:rFonts w:ascii="Arial" w:hAnsi="Arial" w:cs="Arial"/>
          <w:sz w:val="22"/>
          <w:szCs w:val="22"/>
        </w:rPr>
        <w:t>.</w:t>
      </w:r>
    </w:p>
    <w:p>
      <w:pPr>
        <w:pStyle w:val="4"/>
        <w:rPr>
          <w:rFonts w:ascii="Arial" w:hAnsi="Arial" w:cs="Arial"/>
          <w:sz w:val="22"/>
          <w:szCs w:val="22"/>
        </w:rPr>
      </w:pPr>
    </w:p>
    <w:p>
      <w:pPr>
        <w:pStyle w:val="4"/>
        <w:rPr>
          <w:rFonts w:ascii="Arial" w:hAnsi="Arial" w:cs="Arial"/>
          <w:b/>
          <w:bCs/>
          <w:sz w:val="22"/>
          <w:szCs w:val="22"/>
        </w:rPr>
      </w:pPr>
      <w:r>
        <w:rPr>
          <w:rFonts w:ascii="Arial" w:hAnsi="Arial" w:cs="Arial"/>
          <w:sz w:val="22"/>
          <w:szCs w:val="22"/>
        </w:rPr>
        <w:t xml:space="preserve">Sehr geehrte/r   </w:t>
      </w:r>
      <w:r>
        <w:rPr>
          <w:rFonts w:ascii="Arial" w:hAnsi="Arial" w:cs="Arial"/>
          <w:b/>
          <w:bCs/>
          <w:sz w:val="22"/>
          <w:szCs w:val="22"/>
        </w:rPr>
        <w:t>Herr/Frau     Name,</w:t>
      </w: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 xml:space="preserve">mit diesem Brief möchten wir Sie daran erinnern, dass Sie persönlich für Impfschäden haftbar gemacht werden können, wenn Sie Ihren Patienten einen der Gen-basierten COVID-19-Impfstoffe verabreichen. </w:t>
      </w:r>
    </w:p>
    <w:p>
      <w:pPr>
        <w:pStyle w:val="4"/>
        <w:rPr>
          <w:rFonts w:ascii="Arial" w:hAnsi="Arial" w:cs="Arial"/>
          <w:sz w:val="22"/>
          <w:szCs w:val="22"/>
        </w:rPr>
      </w:pPr>
      <w:r>
        <w:rPr>
          <w:rFonts w:ascii="Arial" w:hAnsi="Arial" w:cs="Arial"/>
          <w:sz w:val="22"/>
          <w:szCs w:val="22"/>
        </w:rPr>
        <w:t xml:space="preserve">In unserem vorhergehenden Schreiben vom Juni dieses Jahres haben wir dargelegt, dass diese Impfstoffe allesamt unnötig, unwirksam, und gefährlich sind. Der Inhalt dieses Schreibens ist unter der folgenden Web-Adresse zu finden: </w:t>
      </w:r>
      <w:r>
        <w:fldChar w:fldCharType="begin"/>
      </w:r>
      <w:r>
        <w:instrText xml:space="preserve"> HYPERLINK "https://doctors4covidethics.org/wp-content/uploads/2021/11/nol1-german.pdf" \h </w:instrText>
      </w:r>
      <w:r>
        <w:fldChar w:fldCharType="separate"/>
      </w:r>
      <w:r>
        <w:rPr>
          <w:rStyle w:val="13"/>
          <w:rFonts w:ascii="Arial" w:hAnsi="Arial" w:cs="Arial"/>
          <w:sz w:val="22"/>
          <w:szCs w:val="22"/>
        </w:rPr>
        <w:t>https://doctors4covidethics.org/wp-content/uploads/2021/11/nol1-german.pdf</w:t>
      </w:r>
      <w:r>
        <w:rPr>
          <w:rStyle w:val="13"/>
          <w:rFonts w:ascii="Arial" w:hAnsi="Arial" w:cs="Arial"/>
          <w:sz w:val="22"/>
          <w:szCs w:val="22"/>
        </w:rPr>
        <w:fldChar w:fldCharType="end"/>
      </w:r>
      <w:r>
        <w:rPr>
          <w:rFonts w:ascii="Arial" w:hAnsi="Arial" w:cs="Arial"/>
          <w:sz w:val="22"/>
          <w:szCs w:val="22"/>
        </w:rPr>
        <w:t xml:space="preserve">. Im Folgenden möchten wir Ihnen kurz neuere Befunde und Ergebnisse vorstellen, die diese Punkte bekräftigen und vertiefen. </w:t>
      </w:r>
    </w:p>
    <w:p>
      <w:pPr>
        <w:pStyle w:val="4"/>
        <w:rPr>
          <w:rFonts w:ascii="Arial" w:hAnsi="Arial" w:cs="Arial"/>
          <w:sz w:val="22"/>
          <w:szCs w:val="22"/>
        </w:rPr>
      </w:pPr>
    </w:p>
    <w:p>
      <w:pPr>
        <w:pStyle w:val="5"/>
        <w:numPr>
          <w:ilvl w:val="1"/>
          <w:numId w:val="2"/>
        </w:numPr>
        <w:rPr>
          <w:rFonts w:ascii="Arial" w:hAnsi="Arial" w:cs="Arial"/>
          <w:sz w:val="22"/>
          <w:szCs w:val="22"/>
        </w:rPr>
      </w:pPr>
      <w:bookmarkStart w:id="0" w:name="sec-die"/>
      <w:bookmarkEnd w:id="0"/>
      <w:r>
        <w:rPr>
          <w:rFonts w:ascii="Arial" w:hAnsi="Arial" w:cs="Arial"/>
          <w:sz w:val="22"/>
          <w:szCs w:val="22"/>
        </w:rPr>
        <w:t xml:space="preserve">1. Die Impfstoffe sind unnötig </w:t>
      </w:r>
    </w:p>
    <w:p>
      <w:pPr>
        <w:pStyle w:val="4"/>
        <w:rPr>
          <w:rFonts w:ascii="Arial" w:hAnsi="Arial" w:cs="Arial"/>
          <w:sz w:val="22"/>
          <w:szCs w:val="22"/>
        </w:rPr>
      </w:pPr>
      <w:r>
        <w:rPr>
          <w:rFonts w:ascii="Arial" w:hAnsi="Arial" w:cs="Arial"/>
          <w:sz w:val="22"/>
          <w:szCs w:val="22"/>
        </w:rPr>
        <w:t xml:space="preserve">Es dürfte inzwischen allgemein bekannt sein, dass COVID-19 für Personen ohne schwerwiegende Vor- oder Begleiterkrankungen nur ein äußerst geringfügiges Risiko für Tod oder schwere, irreversible Gesundheitsschädigung birgt. Dies gilt sogar für über 65-jährige, ganz besonders aber für junge Menschen </w:t>
      </w:r>
      <w:bookmarkStart w:id="1" w:name="cite1"/>
      <w:bookmarkEnd w:id="1"/>
      <w:r>
        <w:rPr>
          <w:rFonts w:ascii="Arial" w:hAnsi="Arial" w:cs="Arial"/>
          <w:sz w:val="22"/>
          <w:szCs w:val="22"/>
        </w:rPr>
        <w:t>[</w:t>
      </w:r>
      <w:r>
        <w:fldChar w:fldCharType="begin"/>
      </w:r>
      <w:r>
        <w:instrText xml:space="preserve"> HYPERLINK \l "ref1" \h </w:instrText>
      </w:r>
      <w:r>
        <w:fldChar w:fldCharType="separate"/>
      </w:r>
      <w:r>
        <w:rPr>
          <w:rStyle w:val="13"/>
          <w:rFonts w:ascii="Arial" w:hAnsi="Arial" w:cs="Arial"/>
          <w:sz w:val="22"/>
          <w:szCs w:val="22"/>
        </w:rPr>
        <w:t>1</w:t>
      </w:r>
      <w:r>
        <w:rPr>
          <w:rStyle w:val="13"/>
          <w:rFonts w:ascii="Arial" w:hAnsi="Arial" w:cs="Arial"/>
          <w:sz w:val="22"/>
          <w:szCs w:val="22"/>
        </w:rPr>
        <w:fldChar w:fldCharType="end"/>
      </w:r>
      <w:r>
        <w:rPr>
          <w:rFonts w:ascii="Arial" w:hAnsi="Arial" w:cs="Arial"/>
          <w:sz w:val="22"/>
          <w:szCs w:val="22"/>
        </w:rPr>
        <w:t xml:space="preserve">]. So sind zum Beispiel dem Robert Koch-Institut in der Zeit bis zum 13. Juli 2021 nur ganze 11 COVID-Todesfälle in der Altersgruppe von 10 bis 19 Jahren gemeldet worden. </w:t>
      </w:r>
    </w:p>
    <w:p>
      <w:pPr>
        <w:pStyle w:val="4"/>
        <w:rPr>
          <w:rFonts w:ascii="Arial" w:hAnsi="Arial" w:cs="Arial"/>
          <w:sz w:val="22"/>
          <w:szCs w:val="22"/>
        </w:rPr>
      </w:pPr>
      <w:r>
        <w:rPr>
          <w:rFonts w:ascii="Arial" w:hAnsi="Arial" w:cs="Arial"/>
          <w:sz w:val="22"/>
          <w:szCs w:val="22"/>
        </w:rPr>
        <w:t xml:space="preserve">Der Hauptgrund für die insgesamt sehr geringe Mortalität ist die Kreuz-Immunität, welche durch vorhergehende Infektion mit anderen Beta-Coronaviren herbeigeführt wurde. Die weite Verbreitung dieser Immunität </w:t>
      </w:r>
      <w:bookmarkStart w:id="2" w:name="cite2"/>
      <w:bookmarkEnd w:id="2"/>
      <w:r>
        <w:rPr>
          <w:rFonts w:ascii="Arial" w:hAnsi="Arial" w:cs="Arial"/>
          <w:sz w:val="22"/>
          <w:szCs w:val="22"/>
        </w:rPr>
        <w:t>[</w:t>
      </w:r>
      <w:r>
        <w:fldChar w:fldCharType="begin"/>
      </w:r>
      <w:r>
        <w:instrText xml:space="preserve"> HYPERLINK \l "ref2" \h </w:instrText>
      </w:r>
      <w:r>
        <w:fldChar w:fldCharType="separate"/>
      </w:r>
      <w:r>
        <w:rPr>
          <w:rStyle w:val="13"/>
          <w:rFonts w:ascii="Arial" w:hAnsi="Arial" w:cs="Arial"/>
          <w:sz w:val="22"/>
          <w:szCs w:val="22"/>
        </w:rPr>
        <w:t>2</w:t>
      </w:r>
      <w:r>
        <w:rPr>
          <w:rStyle w:val="13"/>
          <w:rFonts w:ascii="Arial" w:hAnsi="Arial" w:cs="Arial"/>
          <w:sz w:val="22"/>
          <w:szCs w:val="22"/>
        </w:rPr>
        <w:fldChar w:fldCharType="end"/>
      </w:r>
      <w:r>
        <w:rPr>
          <w:rFonts w:ascii="Arial" w:hAnsi="Arial" w:cs="Arial"/>
          <w:sz w:val="22"/>
          <w:szCs w:val="22"/>
        </w:rPr>
        <w:t>,</w:t>
      </w:r>
      <w:r>
        <w:fldChar w:fldCharType="begin"/>
      </w:r>
      <w:r>
        <w:instrText xml:space="preserve"> HYPERLINK \l "ref3" \h </w:instrText>
      </w:r>
      <w:r>
        <w:fldChar w:fldCharType="separate"/>
      </w:r>
      <w:r>
        <w:rPr>
          <w:rStyle w:val="13"/>
          <w:rFonts w:ascii="Arial" w:hAnsi="Arial" w:cs="Arial"/>
          <w:sz w:val="22"/>
          <w:szCs w:val="22"/>
        </w:rPr>
        <w:t>3</w:t>
      </w:r>
      <w:r>
        <w:rPr>
          <w:rStyle w:val="13"/>
          <w:rFonts w:ascii="Arial" w:hAnsi="Arial" w:cs="Arial"/>
          <w:sz w:val="22"/>
          <w:szCs w:val="22"/>
        </w:rPr>
        <w:fldChar w:fldCharType="end"/>
      </w:r>
      <w:r>
        <w:rPr>
          <w:rFonts w:ascii="Arial" w:hAnsi="Arial" w:cs="Arial"/>
          <w:sz w:val="22"/>
          <w:szCs w:val="22"/>
        </w:rPr>
        <w:t xml:space="preserve">] und ihre klinische Wirksamkeit </w:t>
      </w:r>
      <w:bookmarkStart w:id="3" w:name="cite3"/>
      <w:bookmarkEnd w:id="3"/>
      <w:r>
        <w:rPr>
          <w:rFonts w:ascii="Arial" w:hAnsi="Arial" w:cs="Arial"/>
          <w:sz w:val="22"/>
          <w:szCs w:val="22"/>
        </w:rPr>
        <w:t>[</w:t>
      </w:r>
      <w:r>
        <w:fldChar w:fldCharType="begin"/>
      </w:r>
      <w:r>
        <w:instrText xml:space="preserve"> HYPERLINK \l "ref4" \h </w:instrText>
      </w:r>
      <w:r>
        <w:fldChar w:fldCharType="separate"/>
      </w:r>
      <w:r>
        <w:rPr>
          <w:rStyle w:val="13"/>
          <w:rFonts w:ascii="Arial" w:hAnsi="Arial" w:cs="Arial"/>
          <w:sz w:val="22"/>
          <w:szCs w:val="22"/>
        </w:rPr>
        <w:t>4</w:t>
      </w:r>
      <w:r>
        <w:rPr>
          <w:rStyle w:val="13"/>
          <w:rFonts w:ascii="Arial" w:hAnsi="Arial" w:cs="Arial"/>
          <w:sz w:val="22"/>
          <w:szCs w:val="22"/>
        </w:rPr>
        <w:fldChar w:fldCharType="end"/>
      </w:r>
      <w:r>
        <w:rPr>
          <w:rFonts w:ascii="Arial" w:hAnsi="Arial" w:cs="Arial"/>
          <w:sz w:val="22"/>
          <w:szCs w:val="22"/>
        </w:rPr>
        <w:t>–</w:t>
      </w:r>
      <w:r>
        <w:fldChar w:fldCharType="begin"/>
      </w:r>
      <w:r>
        <w:instrText xml:space="preserve"> HYPERLINK \l "ref7" \h </w:instrText>
      </w:r>
      <w:r>
        <w:fldChar w:fldCharType="separate"/>
      </w:r>
      <w:r>
        <w:rPr>
          <w:rStyle w:val="13"/>
          <w:rFonts w:ascii="Arial" w:hAnsi="Arial" w:cs="Arial"/>
          <w:sz w:val="22"/>
          <w:szCs w:val="22"/>
        </w:rPr>
        <w:t>7</w:t>
      </w:r>
      <w:r>
        <w:rPr>
          <w:rStyle w:val="13"/>
          <w:rFonts w:ascii="Arial" w:hAnsi="Arial" w:cs="Arial"/>
          <w:sz w:val="22"/>
          <w:szCs w:val="22"/>
        </w:rPr>
        <w:fldChar w:fldCharType="end"/>
      </w:r>
      <w:r>
        <w:rPr>
          <w:rFonts w:ascii="Arial" w:hAnsi="Arial" w:cs="Arial"/>
          <w:sz w:val="22"/>
          <w:szCs w:val="22"/>
        </w:rPr>
        <w:t xml:space="preserve">] sind hinlänglich bestätigt. </w:t>
      </w:r>
    </w:p>
    <w:p>
      <w:pPr>
        <w:pStyle w:val="4"/>
        <w:rPr>
          <w:rFonts w:ascii="Arial" w:hAnsi="Arial" w:cs="Arial"/>
          <w:sz w:val="22"/>
          <w:szCs w:val="22"/>
        </w:rPr>
      </w:pPr>
    </w:p>
    <w:p>
      <w:pPr>
        <w:pStyle w:val="4"/>
        <w:rPr>
          <w:rFonts w:ascii="Arial" w:hAnsi="Arial" w:cs="Arial"/>
          <w:sz w:val="22"/>
          <w:szCs w:val="22"/>
        </w:rPr>
      </w:pPr>
    </w:p>
    <w:p>
      <w:pPr>
        <w:pStyle w:val="4"/>
        <w:rPr>
          <w:rFonts w:ascii="Arial" w:hAnsi="Arial" w:cs="Arial"/>
          <w:sz w:val="22"/>
          <w:szCs w:val="22"/>
        </w:rPr>
      </w:pPr>
    </w:p>
    <w:p>
      <w:pPr>
        <w:pStyle w:val="5"/>
        <w:numPr>
          <w:ilvl w:val="1"/>
          <w:numId w:val="2"/>
        </w:numPr>
        <w:rPr>
          <w:rFonts w:ascii="Arial" w:hAnsi="Arial" w:cs="Arial"/>
          <w:sz w:val="22"/>
          <w:szCs w:val="22"/>
        </w:rPr>
      </w:pPr>
      <w:bookmarkStart w:id="4" w:name="sec-die-impfstoffe"/>
      <w:bookmarkEnd w:id="4"/>
    </w:p>
    <w:p>
      <w:pPr>
        <w:pStyle w:val="5"/>
        <w:numPr>
          <w:ilvl w:val="1"/>
          <w:numId w:val="2"/>
        </w:numPr>
        <w:rPr>
          <w:rFonts w:ascii="Arial" w:hAnsi="Arial" w:cs="Arial"/>
          <w:sz w:val="22"/>
          <w:szCs w:val="22"/>
        </w:rPr>
      </w:pPr>
      <w:r>
        <w:rPr>
          <w:rFonts w:ascii="Arial" w:hAnsi="Arial" w:cs="Arial"/>
          <w:sz w:val="22"/>
          <w:szCs w:val="22"/>
        </w:rPr>
        <w:t xml:space="preserve">2. Die Impfstoffe sind unwirksam </w:t>
      </w:r>
    </w:p>
    <w:p>
      <w:pPr>
        <w:pStyle w:val="4"/>
        <w:rPr>
          <w:rFonts w:ascii="Arial" w:hAnsi="Arial" w:cs="Arial"/>
          <w:sz w:val="22"/>
          <w:szCs w:val="22"/>
        </w:rPr>
      </w:pPr>
      <w:r>
        <w:rPr>
          <w:rFonts w:ascii="Arial" w:hAnsi="Arial" w:cs="Arial"/>
          <w:sz w:val="22"/>
          <w:szCs w:val="22"/>
        </w:rPr>
        <w:t xml:space="preserve">Die Berichte zu den sogenannten klinischen Studien, die die Effektivität der Impfstoffe von Pfizer und Moderna beweisen sollten </w:t>
      </w:r>
      <w:bookmarkStart w:id="5" w:name="cite4"/>
      <w:bookmarkEnd w:id="5"/>
      <w:r>
        <w:rPr>
          <w:rFonts w:ascii="Arial" w:hAnsi="Arial" w:cs="Arial"/>
          <w:sz w:val="22"/>
          <w:szCs w:val="22"/>
        </w:rPr>
        <w:t>[</w:t>
      </w:r>
      <w:r>
        <w:fldChar w:fldCharType="begin"/>
      </w:r>
      <w:r>
        <w:instrText xml:space="preserve"> HYPERLINK \l "ref8" \h </w:instrText>
      </w:r>
      <w:r>
        <w:fldChar w:fldCharType="separate"/>
      </w:r>
      <w:r>
        <w:rPr>
          <w:rStyle w:val="13"/>
          <w:rFonts w:ascii="Arial" w:hAnsi="Arial" w:cs="Arial"/>
          <w:sz w:val="22"/>
          <w:szCs w:val="22"/>
        </w:rPr>
        <w:t>8</w:t>
      </w:r>
      <w:r>
        <w:rPr>
          <w:rStyle w:val="13"/>
          <w:rFonts w:ascii="Arial" w:hAnsi="Arial" w:cs="Arial"/>
          <w:sz w:val="22"/>
          <w:szCs w:val="22"/>
        </w:rPr>
        <w:fldChar w:fldCharType="end"/>
      </w:r>
      <w:r>
        <w:rPr>
          <w:rFonts w:ascii="Arial" w:hAnsi="Arial" w:cs="Arial"/>
          <w:sz w:val="22"/>
          <w:szCs w:val="22"/>
        </w:rPr>
        <w:t>,</w:t>
      </w:r>
      <w:r>
        <w:fldChar w:fldCharType="begin"/>
      </w:r>
      <w:r>
        <w:instrText xml:space="preserve"> HYPERLINK \l "ref9" \h </w:instrText>
      </w:r>
      <w:r>
        <w:fldChar w:fldCharType="separate"/>
      </w:r>
      <w:r>
        <w:rPr>
          <w:rStyle w:val="13"/>
          <w:rFonts w:ascii="Arial" w:hAnsi="Arial" w:cs="Arial"/>
          <w:sz w:val="22"/>
          <w:szCs w:val="22"/>
        </w:rPr>
        <w:t>9</w:t>
      </w:r>
      <w:r>
        <w:rPr>
          <w:rStyle w:val="13"/>
          <w:rFonts w:ascii="Arial" w:hAnsi="Arial" w:cs="Arial"/>
          <w:sz w:val="22"/>
          <w:szCs w:val="22"/>
        </w:rPr>
        <w:fldChar w:fldCharType="end"/>
      </w:r>
      <w:r>
        <w:rPr>
          <w:rFonts w:ascii="Arial" w:hAnsi="Arial" w:cs="Arial"/>
          <w:sz w:val="22"/>
          <w:szCs w:val="22"/>
        </w:rPr>
        <w:t xml:space="preserve">], sind voller Widersprüche und daher nicht glaubwürdig </w:t>
      </w:r>
      <w:bookmarkStart w:id="6" w:name="cite5"/>
      <w:bookmarkEnd w:id="6"/>
      <w:r>
        <w:rPr>
          <w:rFonts w:ascii="Arial" w:hAnsi="Arial" w:cs="Arial"/>
          <w:sz w:val="22"/>
          <w:szCs w:val="22"/>
        </w:rPr>
        <w:t>[</w:t>
      </w:r>
      <w:r>
        <w:fldChar w:fldCharType="begin"/>
      </w:r>
      <w:r>
        <w:instrText xml:space="preserve"> HYPERLINK \l "ref10" \h </w:instrText>
      </w:r>
      <w:r>
        <w:fldChar w:fldCharType="separate"/>
      </w:r>
      <w:r>
        <w:rPr>
          <w:rStyle w:val="13"/>
          <w:rFonts w:ascii="Arial" w:hAnsi="Arial" w:cs="Arial"/>
          <w:sz w:val="22"/>
          <w:szCs w:val="22"/>
        </w:rPr>
        <w:t>10</w:t>
      </w:r>
      <w:r>
        <w:rPr>
          <w:rStyle w:val="13"/>
          <w:rFonts w:ascii="Arial" w:hAnsi="Arial" w:cs="Arial"/>
          <w:sz w:val="22"/>
          <w:szCs w:val="22"/>
        </w:rPr>
        <w:fldChar w:fldCharType="end"/>
      </w:r>
      <w:r>
        <w:rPr>
          <w:rFonts w:ascii="Arial" w:hAnsi="Arial" w:cs="Arial"/>
          <w:sz w:val="22"/>
          <w:szCs w:val="22"/>
        </w:rPr>
        <w:t>,</w:t>
      </w:r>
      <w:r>
        <w:fldChar w:fldCharType="begin"/>
      </w:r>
      <w:r>
        <w:instrText xml:space="preserve"> HYPERLINK \l "ref11" \h </w:instrText>
      </w:r>
      <w:r>
        <w:fldChar w:fldCharType="separate"/>
      </w:r>
      <w:r>
        <w:rPr>
          <w:rStyle w:val="13"/>
          <w:rFonts w:ascii="Arial" w:hAnsi="Arial" w:cs="Arial"/>
          <w:sz w:val="22"/>
          <w:szCs w:val="22"/>
        </w:rPr>
        <w:t>11</w:t>
      </w:r>
      <w:r>
        <w:rPr>
          <w:rStyle w:val="13"/>
          <w:rFonts w:ascii="Arial" w:hAnsi="Arial" w:cs="Arial"/>
          <w:sz w:val="22"/>
          <w:szCs w:val="22"/>
        </w:rPr>
        <w:fldChar w:fldCharType="end"/>
      </w:r>
      <w:r>
        <w:rPr>
          <w:rFonts w:ascii="Arial" w:hAnsi="Arial" w:cs="Arial"/>
          <w:sz w:val="22"/>
          <w:szCs w:val="22"/>
        </w:rPr>
        <w:t xml:space="preserve">]. Das Versagen der Impfstoffe ist inzwischen aber auch in der Praxis dokumentiert. </w:t>
      </w:r>
    </w:p>
    <w:p>
      <w:pPr>
        <w:pStyle w:val="4"/>
        <w:rPr>
          <w:rFonts w:ascii="Arial" w:hAnsi="Arial" w:cs="Arial"/>
          <w:sz w:val="22"/>
          <w:szCs w:val="22"/>
        </w:rPr>
      </w:pPr>
      <w:r>
        <w:rPr>
          <w:rFonts w:ascii="Arial" w:hAnsi="Arial" w:cs="Arial"/>
          <w:sz w:val="22"/>
          <w:szCs w:val="22"/>
        </w:rPr>
        <w:t xml:space="preserve">Das amerikanische Center for Disease Control (CDC) veröffentlichte eine Studie, die 469 COVID-Fälle umfasste </w:t>
      </w:r>
      <w:bookmarkStart w:id="7" w:name="cite6"/>
      <w:bookmarkEnd w:id="7"/>
      <w:r>
        <w:rPr>
          <w:rFonts w:ascii="Arial" w:hAnsi="Arial" w:cs="Arial"/>
          <w:sz w:val="22"/>
          <w:szCs w:val="22"/>
        </w:rPr>
        <w:t>[</w:t>
      </w:r>
      <w:r>
        <w:fldChar w:fldCharType="begin"/>
      </w:r>
      <w:r>
        <w:instrText xml:space="preserve"> HYPERLINK \l "ref12" \h </w:instrText>
      </w:r>
      <w:r>
        <w:fldChar w:fldCharType="separate"/>
      </w:r>
      <w:r>
        <w:rPr>
          <w:rStyle w:val="13"/>
          <w:rFonts w:ascii="Arial" w:hAnsi="Arial" w:cs="Arial"/>
          <w:sz w:val="22"/>
          <w:szCs w:val="22"/>
        </w:rPr>
        <w:t>12</w:t>
      </w:r>
      <w:r>
        <w:rPr>
          <w:rStyle w:val="13"/>
          <w:rFonts w:ascii="Arial" w:hAnsi="Arial" w:cs="Arial"/>
          <w:sz w:val="22"/>
          <w:szCs w:val="22"/>
        </w:rPr>
        <w:fldChar w:fldCharType="end"/>
      </w:r>
      <w:r>
        <w:rPr>
          <w:rFonts w:ascii="Arial" w:hAnsi="Arial" w:cs="Arial"/>
          <w:sz w:val="22"/>
          <w:szCs w:val="22"/>
        </w:rPr>
        <w:t xml:space="preserve">] – diese Zahl ist mehr als doppelt so hoch wie die Summe der Fälle, die in Pfizer’s und Moderna’s klinischen Studien berichtet worden waren. Von diesen 469 Fällen betrafen 74% zuvor geimpfte Personen, während in der allgemeinen Bevölkerung in dem betreffenden Zeitraum nur 69% geimpft worden waren. Diese offenkundigen Impf-Versager betrafen alle drei erfassten Impfstoffe, nämlich die von Pfizer, Moderna, und Johnson &amp; Johnson. Da der von AstraZeneca produzierte Impfstoff dem von Johnson &amp; Johnson sehr ähnlich ist, muss man davon ausgehen, dass AstraZenecas Impfstoff auch nicht besser abgeschnitten hätte. </w:t>
      </w:r>
    </w:p>
    <w:p>
      <w:pPr>
        <w:pStyle w:val="4"/>
        <w:rPr>
          <w:rFonts w:ascii="Arial" w:hAnsi="Arial" w:cs="Arial"/>
          <w:sz w:val="22"/>
          <w:szCs w:val="22"/>
        </w:rPr>
      </w:pPr>
      <w:r>
        <w:rPr>
          <w:rFonts w:ascii="Arial" w:hAnsi="Arial" w:cs="Arial"/>
          <w:sz w:val="22"/>
          <w:szCs w:val="22"/>
        </w:rPr>
        <w:t xml:space="preserve">Die Unwirksamkeit der Impfstoffe kann weiterhin auch durch einen internationalen Vergleich belegt werden. Wenn man für 68 Länder die Anzahl neuer COVID-Fälle gegen die die Impfrate der Bevölkerung aufträgt, dann ergibt sich eine nur schwache, aber positive Korrelation </w:t>
      </w:r>
      <w:bookmarkStart w:id="8" w:name="cite7"/>
      <w:bookmarkEnd w:id="8"/>
      <w:r>
        <w:rPr>
          <w:rFonts w:ascii="Arial" w:hAnsi="Arial" w:cs="Arial"/>
          <w:sz w:val="22"/>
          <w:szCs w:val="22"/>
        </w:rPr>
        <w:t>[</w:t>
      </w:r>
      <w:r>
        <w:fldChar w:fldCharType="begin"/>
      </w:r>
      <w:r>
        <w:instrText xml:space="preserve"> HYPERLINK \l "ref13" \h </w:instrText>
      </w:r>
      <w:r>
        <w:fldChar w:fldCharType="separate"/>
      </w:r>
      <w:r>
        <w:rPr>
          <w:rStyle w:val="13"/>
          <w:rFonts w:ascii="Arial" w:hAnsi="Arial" w:cs="Arial"/>
          <w:sz w:val="22"/>
          <w:szCs w:val="22"/>
        </w:rPr>
        <w:t>13</w:t>
      </w:r>
      <w:r>
        <w:rPr>
          <w:rStyle w:val="13"/>
          <w:rFonts w:ascii="Arial" w:hAnsi="Arial" w:cs="Arial"/>
          <w:sz w:val="22"/>
          <w:szCs w:val="22"/>
        </w:rPr>
        <w:fldChar w:fldCharType="end"/>
      </w:r>
      <w:r>
        <w:rPr>
          <w:rFonts w:ascii="Arial" w:hAnsi="Arial" w:cs="Arial"/>
          <w:sz w:val="22"/>
          <w:szCs w:val="22"/>
        </w:rPr>
        <w:t xml:space="preserve">] – selbst hohe Impfraten im Bereich von 60-80% schaffen es nicht, die Anzahl neuer Infektionen zu reduzieren. </w:t>
      </w:r>
    </w:p>
    <w:p>
      <w:pPr>
        <w:pStyle w:val="4"/>
        <w:rPr>
          <w:rFonts w:ascii="Arial" w:hAnsi="Arial" w:cs="Arial"/>
          <w:sz w:val="22"/>
          <w:szCs w:val="22"/>
        </w:rPr>
      </w:pPr>
      <w:r>
        <w:rPr>
          <w:rFonts w:ascii="Arial" w:hAnsi="Arial" w:cs="Arial"/>
          <w:sz w:val="22"/>
          <w:szCs w:val="22"/>
        </w:rPr>
        <w:t xml:space="preserve">Beträgt deren Nutzen null, fällt die Nutzen-Risiko-Analyse der „COVID-19-Impfstoffe“ selbst dann negativ aus, wenn deren unerwünschte Nebenwirkungen überschätzt werden, was kaum möglich ist, da erfahrungsgemäß nur etwa 1-3% der Nebenwirkungen überhaupt gemeldet werden. </w:t>
      </w:r>
    </w:p>
    <w:p>
      <w:pPr>
        <w:pStyle w:val="4"/>
        <w:rPr>
          <w:rFonts w:ascii="Arial" w:hAnsi="Arial" w:cs="Arial"/>
          <w:sz w:val="22"/>
          <w:szCs w:val="22"/>
        </w:rPr>
      </w:pPr>
    </w:p>
    <w:p>
      <w:pPr>
        <w:pStyle w:val="5"/>
        <w:numPr>
          <w:ilvl w:val="1"/>
          <w:numId w:val="2"/>
        </w:numPr>
        <w:rPr>
          <w:rFonts w:ascii="Arial" w:hAnsi="Arial" w:cs="Arial"/>
          <w:sz w:val="22"/>
          <w:szCs w:val="22"/>
        </w:rPr>
      </w:pPr>
      <w:bookmarkStart w:id="9" w:name="sec-die-impfstoffe-sind"/>
      <w:bookmarkEnd w:id="9"/>
      <w:r>
        <w:rPr>
          <w:rFonts w:ascii="Arial" w:hAnsi="Arial" w:cs="Arial"/>
          <w:sz w:val="22"/>
          <w:szCs w:val="22"/>
        </w:rPr>
        <w:t xml:space="preserve">3. Die Impfstoffe sind gefährlich </w:t>
      </w:r>
    </w:p>
    <w:p>
      <w:pPr>
        <w:pStyle w:val="4"/>
        <w:rPr>
          <w:rFonts w:ascii="Arial" w:hAnsi="Arial" w:cs="Arial"/>
          <w:sz w:val="22"/>
          <w:szCs w:val="22"/>
        </w:rPr>
      </w:pPr>
      <w:r>
        <w:rPr>
          <w:rFonts w:ascii="Arial" w:hAnsi="Arial" w:cs="Arial"/>
          <w:sz w:val="22"/>
          <w:szCs w:val="22"/>
        </w:rPr>
        <w:t xml:space="preserve">Wie bei jeder anderen Behandlung ist auch bei der COVID-Impfung eine ehrliche Abwägung von Nutzen und Risiko unverzichtbar. Die Arbeit von Kostoff et al. </w:t>
      </w:r>
      <w:bookmarkStart w:id="10" w:name="cite8"/>
      <w:bookmarkEnd w:id="10"/>
      <w:r>
        <w:rPr>
          <w:rFonts w:ascii="Arial" w:hAnsi="Arial" w:cs="Arial"/>
          <w:sz w:val="22"/>
          <w:szCs w:val="22"/>
        </w:rPr>
        <w:t>[</w:t>
      </w:r>
      <w:r>
        <w:fldChar w:fldCharType="begin"/>
      </w:r>
      <w:r>
        <w:instrText xml:space="preserve"> HYPERLINK \l "ref1" \h </w:instrText>
      </w:r>
      <w:r>
        <w:fldChar w:fldCharType="separate"/>
      </w:r>
      <w:r>
        <w:rPr>
          <w:rStyle w:val="13"/>
          <w:rFonts w:ascii="Arial" w:hAnsi="Arial" w:cs="Arial"/>
          <w:sz w:val="22"/>
          <w:szCs w:val="22"/>
        </w:rPr>
        <w:t>1</w:t>
      </w:r>
      <w:r>
        <w:rPr>
          <w:rStyle w:val="13"/>
          <w:rFonts w:ascii="Arial" w:hAnsi="Arial" w:cs="Arial"/>
          <w:sz w:val="22"/>
          <w:szCs w:val="22"/>
        </w:rPr>
        <w:fldChar w:fldCharType="end"/>
      </w:r>
      <w:r>
        <w:rPr>
          <w:rFonts w:ascii="Arial" w:hAnsi="Arial" w:cs="Arial"/>
          <w:sz w:val="22"/>
          <w:szCs w:val="22"/>
        </w:rPr>
        <w:t xml:space="preserve">] zu diesem Thema macht klar, dass der Schaden den Nutzen bei weitem überwiegt – und das in jeder Altersgruppe, selbst bei Senioren. </w:t>
      </w:r>
    </w:p>
    <w:p>
      <w:pPr>
        <w:pStyle w:val="4"/>
        <w:rPr>
          <w:rFonts w:ascii="Arial" w:hAnsi="Arial" w:cs="Arial"/>
          <w:sz w:val="22"/>
          <w:szCs w:val="22"/>
        </w:rPr>
      </w:pPr>
      <w:r>
        <w:rPr>
          <w:rFonts w:ascii="Arial" w:hAnsi="Arial" w:cs="Arial"/>
          <w:sz w:val="22"/>
          <w:szCs w:val="22"/>
        </w:rPr>
        <w:t xml:space="preserve">Schwere Nebenwirkungen der Impfung sind häufig. Der kanadische Allgemeinmediziner Dr. Charles Hoffe schrieb schon im April einen offenen Brief an die Gesundheitsministerin der Provinz British Columbia, in dem er auf vier solcher Fälle unter insgesamt 900 Patienten hinwies; diese waren nach der ersten Injektion von Moderna-Impfstoff aufgetreten </w:t>
      </w:r>
      <w:bookmarkStart w:id="11" w:name="cite9"/>
      <w:bookmarkEnd w:id="11"/>
      <w:r>
        <w:rPr>
          <w:rFonts w:ascii="Arial" w:hAnsi="Arial" w:cs="Arial"/>
          <w:sz w:val="22"/>
          <w:szCs w:val="22"/>
        </w:rPr>
        <w:t>[</w:t>
      </w:r>
      <w:r>
        <w:fldChar w:fldCharType="begin"/>
      </w:r>
      <w:r>
        <w:instrText xml:space="preserve"> HYPERLINK \l "ref14" \h </w:instrText>
      </w:r>
      <w:r>
        <w:fldChar w:fldCharType="separate"/>
      </w:r>
      <w:r>
        <w:rPr>
          <w:rStyle w:val="13"/>
          <w:rFonts w:ascii="Arial" w:hAnsi="Arial" w:cs="Arial"/>
          <w:sz w:val="22"/>
          <w:szCs w:val="22"/>
        </w:rPr>
        <w:t>14</w:t>
      </w:r>
      <w:r>
        <w:rPr>
          <w:rStyle w:val="13"/>
          <w:rFonts w:ascii="Arial" w:hAnsi="Arial" w:cs="Arial"/>
          <w:sz w:val="22"/>
          <w:szCs w:val="22"/>
        </w:rPr>
        <w:fldChar w:fldCharType="end"/>
      </w:r>
      <w:r>
        <w:rPr>
          <w:rFonts w:ascii="Arial" w:hAnsi="Arial" w:cs="Arial"/>
          <w:sz w:val="22"/>
          <w:szCs w:val="22"/>
        </w:rPr>
        <w:t xml:space="preserve">]. Einer dieser Fälle verlief tödlich; bei den drei anderen lagen schwere, vermutlich bleibende neurologische Schäden vor. Hoffe hat inzwischen über weitere solcher Fälle in derselben Patienten-Gruppe berichtet. </w:t>
      </w:r>
    </w:p>
    <w:p>
      <w:pPr>
        <w:pStyle w:val="4"/>
        <w:rPr>
          <w:rFonts w:ascii="Arial" w:hAnsi="Arial" w:cs="Arial"/>
          <w:sz w:val="22"/>
          <w:szCs w:val="22"/>
        </w:rPr>
      </w:pPr>
      <w:r>
        <w:rPr>
          <w:rFonts w:ascii="Arial" w:hAnsi="Arial" w:cs="Arial"/>
          <w:sz w:val="22"/>
          <w:szCs w:val="22"/>
        </w:rPr>
        <w:t xml:space="preserve">Die Impfzwischenfall-Meldestellen der USA (VAERS) und der Europäischen Union haben Zehntausende Todesfälle und eine noch wesentlich größere Anzahl von schwerwiegenden, meist vaskulären und entzündlichen Erkrankungen registriert. Tabelle </w:t>
      </w:r>
      <w:r>
        <w:fldChar w:fldCharType="begin"/>
      </w:r>
      <w:r>
        <w:instrText xml:space="preserve"> HYPERLINK \l "tbl-vaers" \h </w:instrText>
      </w:r>
      <w:r>
        <w:fldChar w:fldCharType="separate"/>
      </w:r>
      <w:r>
        <w:rPr>
          <w:rStyle w:val="13"/>
          <w:rFonts w:ascii="Arial" w:hAnsi="Arial" w:cs="Arial"/>
          <w:sz w:val="22"/>
          <w:szCs w:val="22"/>
        </w:rPr>
        <w:t>1</w:t>
      </w:r>
      <w:r>
        <w:rPr>
          <w:rStyle w:val="13"/>
          <w:rFonts w:ascii="Arial" w:hAnsi="Arial" w:cs="Arial"/>
          <w:sz w:val="22"/>
          <w:szCs w:val="22"/>
        </w:rPr>
        <w:fldChar w:fldCharType="end"/>
      </w:r>
      <w:r>
        <w:rPr>
          <w:rFonts w:ascii="Arial" w:hAnsi="Arial" w:cs="Arial"/>
          <w:sz w:val="22"/>
          <w:szCs w:val="22"/>
        </w:rPr>
        <w:t xml:space="preserve"> fasst den Stand für die Berichte in der VAERS-Datenbank zusammen. Die Zahl der bisher in 2021 erfassten Todesfälle, die nach der Verabreichungen von anderen Impfstoffen auftraten, entspricht erwartungsgemäß etwa drei Vierteln des Wertes für das gesamte Vorjahr. Im Vergleich dazu ist die Anzahl der Todesfälle nach COVID-Impfung gewaltig – sie ist über 50 mal größer. </w:t>
      </w:r>
    </w:p>
    <w:p>
      <w:pPr>
        <w:rPr>
          <w:rFonts w:ascii="Arial" w:hAnsi="Arial" w:cs="Arial"/>
          <w:sz w:val="22"/>
          <w:szCs w:val="22"/>
        </w:rPr>
        <w:sectPr>
          <w:headerReference r:id="rId3" w:type="default"/>
          <w:footerReference r:id="rId4" w:type="default"/>
          <w:pgSz w:w="12240" w:h="15840"/>
          <w:pgMar w:top="567" w:right="567" w:bottom="567" w:left="1134" w:header="0" w:footer="0" w:gutter="0"/>
          <w:cols w:space="720" w:num="1"/>
          <w:formProt w:val="0"/>
          <w:docGrid w:linePitch="600" w:charSpace="32768"/>
        </w:sect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b/>
          <w:bCs/>
          <w:sz w:val="22"/>
          <w:szCs w:val="22"/>
        </w:rPr>
      </w:pPr>
    </w:p>
    <w:p>
      <w:pPr>
        <w:pStyle w:val="4"/>
        <w:spacing w:after="0"/>
        <w:rPr>
          <w:rFonts w:ascii="Arial" w:hAnsi="Arial" w:cs="Arial"/>
          <w:sz w:val="22"/>
          <w:szCs w:val="22"/>
        </w:rPr>
      </w:pPr>
      <w:r>
        <w:rPr>
          <w:rFonts w:ascii="Arial" w:hAnsi="Arial" w:cs="Arial"/>
          <w:b/>
          <w:bCs/>
          <w:sz w:val="22"/>
          <w:szCs w:val="22"/>
        </w:rPr>
        <w:t>Tabelle 1</w:t>
      </w:r>
      <w:r>
        <w:rPr>
          <w:rFonts w:ascii="Arial" w:hAnsi="Arial" w:cs="Arial"/>
          <w:sz w:val="22"/>
          <w:szCs w:val="22"/>
        </w:rPr>
        <w:t xml:space="preserve">: Todesfälle nach Impfungen, die in 2020 und 2021 an das amerikanische Vaccine Adverse Event Reporting System (VAERS) gemeldet wurden (Stand: 12. Oktober 2021; Daten von </w:t>
      </w:r>
      <w:bookmarkStart w:id="12" w:name="cite10"/>
      <w:bookmarkEnd w:id="12"/>
      <w:r>
        <w:rPr>
          <w:rFonts w:ascii="Arial" w:hAnsi="Arial" w:cs="Arial"/>
          <w:sz w:val="22"/>
          <w:szCs w:val="22"/>
        </w:rPr>
        <w:t>[</w:t>
      </w:r>
      <w:r>
        <w:fldChar w:fldCharType="begin"/>
      </w:r>
      <w:r>
        <w:instrText xml:space="preserve"> HYPERLINK \l "ref15" \h </w:instrText>
      </w:r>
      <w:r>
        <w:fldChar w:fldCharType="separate"/>
      </w:r>
      <w:r>
        <w:rPr>
          <w:rStyle w:val="13"/>
          <w:rFonts w:ascii="Arial" w:hAnsi="Arial" w:cs="Arial"/>
          <w:sz w:val="22"/>
          <w:szCs w:val="22"/>
        </w:rPr>
        <w:t>15</w:t>
      </w:r>
      <w:r>
        <w:rPr>
          <w:rStyle w:val="13"/>
          <w:rFonts w:ascii="Arial" w:hAnsi="Arial" w:cs="Arial"/>
          <w:sz w:val="22"/>
          <w:szCs w:val="22"/>
        </w:rPr>
        <w:fldChar w:fldCharType="end"/>
      </w:r>
      <w:r>
        <w:rPr>
          <w:rFonts w:ascii="Arial" w:hAnsi="Arial" w:cs="Arial"/>
          <w:sz w:val="22"/>
          <w:szCs w:val="22"/>
        </w:rPr>
        <w:t xml:space="preserve">]) </w:t>
      </w:r>
    </w:p>
    <w:tbl>
      <w:tblPr>
        <w:tblStyle w:val="8"/>
        <w:tblW w:w="5216" w:type="dxa"/>
        <w:tblInd w:w="0" w:type="dxa"/>
        <w:tblLayout w:type="fixed"/>
        <w:tblCellMar>
          <w:top w:w="28" w:type="dxa"/>
          <w:left w:w="28" w:type="dxa"/>
          <w:bottom w:w="28" w:type="dxa"/>
          <w:right w:w="28" w:type="dxa"/>
        </w:tblCellMar>
      </w:tblPr>
      <w:tblGrid>
        <w:gridCol w:w="2528"/>
        <w:gridCol w:w="1148"/>
        <w:gridCol w:w="1540"/>
      </w:tblGrid>
      <w:tr>
        <w:tblPrEx>
          <w:tblCellMar>
            <w:top w:w="28" w:type="dxa"/>
            <w:left w:w="28" w:type="dxa"/>
            <w:bottom w:w="28" w:type="dxa"/>
            <w:right w:w="28" w:type="dxa"/>
          </w:tblCellMar>
        </w:tblPrEx>
        <w:tc>
          <w:tcPr>
            <w:tcW w:w="1407" w:type="dxa"/>
            <w:vAlign w:val="center"/>
          </w:tcPr>
          <w:p>
            <w:pPr>
              <w:pStyle w:val="19"/>
              <w:rPr>
                <w:rFonts w:ascii="Arial" w:hAnsi="Arial" w:cs="Arial"/>
                <w:sz w:val="22"/>
                <w:szCs w:val="22"/>
              </w:rPr>
            </w:pPr>
            <w:r>
              <w:rPr>
                <w:rFonts w:ascii="Arial" w:hAnsi="Arial" w:cs="Arial"/>
                <w:sz w:val="22"/>
                <w:szCs w:val="22"/>
              </w:rPr>
              <w:t>Jahr:</w:t>
            </w:r>
          </w:p>
        </w:tc>
        <w:tc>
          <w:tcPr>
            <w:tcW w:w="639" w:type="dxa"/>
            <w:vAlign w:val="center"/>
          </w:tcPr>
          <w:p>
            <w:pPr>
              <w:pStyle w:val="19"/>
              <w:jc w:val="right"/>
              <w:rPr>
                <w:rFonts w:ascii="Arial" w:hAnsi="Arial" w:cs="Arial"/>
                <w:sz w:val="22"/>
                <w:szCs w:val="22"/>
              </w:rPr>
            </w:pPr>
            <w:r>
              <w:rPr>
                <w:rFonts w:ascii="Arial" w:hAnsi="Arial" w:cs="Arial"/>
                <w:sz w:val="22"/>
                <w:szCs w:val="22"/>
              </w:rPr>
              <w:t xml:space="preserve">2020 </w:t>
            </w:r>
          </w:p>
        </w:tc>
        <w:tc>
          <w:tcPr>
            <w:tcW w:w="857" w:type="dxa"/>
            <w:vAlign w:val="center"/>
          </w:tcPr>
          <w:p>
            <w:pPr>
              <w:pStyle w:val="19"/>
              <w:jc w:val="right"/>
              <w:rPr>
                <w:rFonts w:ascii="Arial" w:hAnsi="Arial" w:cs="Arial"/>
                <w:sz w:val="22"/>
                <w:szCs w:val="22"/>
              </w:rPr>
            </w:pPr>
            <w:r>
              <w:rPr>
                <w:rFonts w:ascii="Arial" w:hAnsi="Arial" w:cs="Arial"/>
                <w:sz w:val="22"/>
                <w:szCs w:val="22"/>
              </w:rPr>
              <w:t xml:space="preserve">2021 </w:t>
            </w:r>
          </w:p>
        </w:tc>
      </w:tr>
      <w:tr>
        <w:tblPrEx>
          <w:tblCellMar>
            <w:top w:w="28" w:type="dxa"/>
            <w:left w:w="28" w:type="dxa"/>
            <w:bottom w:w="28" w:type="dxa"/>
            <w:right w:w="28" w:type="dxa"/>
          </w:tblCellMar>
        </w:tblPrEx>
        <w:tc>
          <w:tcPr>
            <w:tcW w:w="1407" w:type="dxa"/>
            <w:vAlign w:val="center"/>
          </w:tcPr>
          <w:p>
            <w:pPr>
              <w:pStyle w:val="19"/>
              <w:rPr>
                <w:rFonts w:ascii="Arial" w:hAnsi="Arial" w:cs="Arial"/>
                <w:b/>
                <w:bCs/>
                <w:sz w:val="22"/>
                <w:szCs w:val="22"/>
              </w:rPr>
            </w:pPr>
            <w:r>
              <w:rPr>
                <w:rFonts w:ascii="Arial" w:hAnsi="Arial" w:cs="Arial"/>
                <w:b/>
                <w:bCs/>
                <w:sz w:val="22"/>
                <w:szCs w:val="22"/>
              </w:rPr>
              <w:t>COVID-19-Impfung:</w:t>
            </w:r>
          </w:p>
        </w:tc>
        <w:tc>
          <w:tcPr>
            <w:tcW w:w="639" w:type="dxa"/>
            <w:vAlign w:val="center"/>
          </w:tcPr>
          <w:p>
            <w:pPr>
              <w:pStyle w:val="19"/>
              <w:jc w:val="right"/>
              <w:rPr>
                <w:rFonts w:ascii="Arial" w:hAnsi="Arial" w:cs="Arial"/>
                <w:b/>
                <w:bCs/>
                <w:sz w:val="22"/>
                <w:szCs w:val="22"/>
              </w:rPr>
            </w:pPr>
            <w:r>
              <w:rPr>
                <w:rFonts w:ascii="Arial" w:hAnsi="Arial" w:cs="Arial"/>
                <w:b/>
                <w:bCs/>
                <w:sz w:val="22"/>
                <w:szCs w:val="22"/>
              </w:rPr>
              <w:t xml:space="preserve">19 </w:t>
            </w:r>
          </w:p>
        </w:tc>
        <w:tc>
          <w:tcPr>
            <w:tcW w:w="857" w:type="dxa"/>
            <w:vAlign w:val="center"/>
          </w:tcPr>
          <w:p>
            <w:pPr>
              <w:pStyle w:val="19"/>
              <w:jc w:val="right"/>
              <w:rPr>
                <w:rFonts w:ascii="Arial" w:hAnsi="Arial" w:cs="Arial"/>
                <w:b/>
                <w:bCs/>
                <w:sz w:val="22"/>
                <w:szCs w:val="22"/>
              </w:rPr>
            </w:pPr>
            <w:r>
              <w:rPr>
                <w:rFonts w:ascii="Arial" w:hAnsi="Arial" w:cs="Arial"/>
                <w:b/>
                <w:bCs/>
                <w:sz w:val="22"/>
                <w:szCs w:val="22"/>
              </w:rPr>
              <w:t xml:space="preserve">16.291 </w:t>
            </w:r>
          </w:p>
        </w:tc>
      </w:tr>
      <w:tr>
        <w:tblPrEx>
          <w:tblCellMar>
            <w:top w:w="28" w:type="dxa"/>
            <w:left w:w="28" w:type="dxa"/>
            <w:bottom w:w="28" w:type="dxa"/>
            <w:right w:w="28" w:type="dxa"/>
          </w:tblCellMar>
        </w:tblPrEx>
        <w:tc>
          <w:tcPr>
            <w:tcW w:w="1407" w:type="dxa"/>
            <w:vAlign w:val="center"/>
          </w:tcPr>
          <w:p>
            <w:pPr>
              <w:pStyle w:val="19"/>
              <w:rPr>
                <w:rFonts w:ascii="Arial" w:hAnsi="Arial" w:cs="Arial"/>
                <w:sz w:val="22"/>
                <w:szCs w:val="22"/>
              </w:rPr>
            </w:pPr>
            <w:r>
              <w:rPr>
                <w:rFonts w:ascii="Arial" w:hAnsi="Arial" w:cs="Arial"/>
                <w:sz w:val="22"/>
                <w:szCs w:val="22"/>
              </w:rPr>
              <w:t xml:space="preserve">Alle anderen Impfungen: </w:t>
            </w:r>
          </w:p>
        </w:tc>
        <w:tc>
          <w:tcPr>
            <w:tcW w:w="639" w:type="dxa"/>
            <w:vAlign w:val="center"/>
          </w:tcPr>
          <w:p>
            <w:pPr>
              <w:pStyle w:val="19"/>
              <w:jc w:val="right"/>
              <w:rPr>
                <w:rFonts w:ascii="Arial" w:hAnsi="Arial" w:cs="Arial"/>
                <w:sz w:val="22"/>
                <w:szCs w:val="22"/>
              </w:rPr>
            </w:pPr>
            <w:r>
              <w:rPr>
                <w:rFonts w:ascii="Arial" w:hAnsi="Arial" w:cs="Arial"/>
                <w:sz w:val="22"/>
                <w:szCs w:val="22"/>
              </w:rPr>
              <w:t xml:space="preserve">404 </w:t>
            </w:r>
          </w:p>
        </w:tc>
        <w:tc>
          <w:tcPr>
            <w:tcW w:w="857" w:type="dxa"/>
            <w:vAlign w:val="center"/>
          </w:tcPr>
          <w:p>
            <w:pPr>
              <w:pStyle w:val="19"/>
              <w:jc w:val="right"/>
              <w:rPr>
                <w:rFonts w:ascii="Arial" w:hAnsi="Arial" w:cs="Arial"/>
                <w:sz w:val="22"/>
                <w:szCs w:val="22"/>
              </w:rPr>
            </w:pPr>
            <w:r>
              <w:rPr>
                <w:rFonts w:ascii="Arial" w:hAnsi="Arial" w:cs="Arial"/>
                <w:sz w:val="22"/>
                <w:szCs w:val="22"/>
              </w:rPr>
              <w:t xml:space="preserve">307 </w:t>
            </w:r>
          </w:p>
        </w:tc>
      </w:tr>
      <w:tr>
        <w:tblPrEx>
          <w:tblCellMar>
            <w:top w:w="28" w:type="dxa"/>
            <w:left w:w="28" w:type="dxa"/>
            <w:bottom w:w="28" w:type="dxa"/>
            <w:right w:w="28" w:type="dxa"/>
          </w:tblCellMar>
        </w:tblPrEx>
        <w:tc>
          <w:tcPr>
            <w:tcW w:w="1407" w:type="dxa"/>
            <w:vAlign w:val="center"/>
          </w:tcPr>
          <w:p>
            <w:pPr>
              <w:pStyle w:val="19"/>
              <w:rPr>
                <w:rFonts w:ascii="Arial" w:hAnsi="Arial" w:cs="Arial"/>
                <w:sz w:val="22"/>
                <w:szCs w:val="22"/>
              </w:rPr>
            </w:pPr>
            <w:r>
              <w:rPr>
                <w:rFonts w:ascii="Arial" w:hAnsi="Arial" w:cs="Arial"/>
                <w:sz w:val="22"/>
                <w:szCs w:val="22"/>
              </w:rPr>
              <w:t xml:space="preserve">Gesamt: </w:t>
            </w:r>
          </w:p>
        </w:tc>
        <w:tc>
          <w:tcPr>
            <w:tcW w:w="639" w:type="dxa"/>
            <w:vAlign w:val="center"/>
          </w:tcPr>
          <w:p>
            <w:pPr>
              <w:pStyle w:val="19"/>
              <w:jc w:val="right"/>
              <w:rPr>
                <w:rFonts w:ascii="Arial" w:hAnsi="Arial" w:cs="Arial"/>
                <w:sz w:val="22"/>
                <w:szCs w:val="22"/>
              </w:rPr>
            </w:pPr>
            <w:r>
              <w:rPr>
                <w:rFonts w:ascii="Arial" w:hAnsi="Arial" w:cs="Arial"/>
                <w:sz w:val="22"/>
                <w:szCs w:val="22"/>
              </w:rPr>
              <w:t xml:space="preserve">423 </w:t>
            </w:r>
          </w:p>
        </w:tc>
        <w:tc>
          <w:tcPr>
            <w:tcW w:w="857" w:type="dxa"/>
            <w:vAlign w:val="center"/>
          </w:tcPr>
          <w:p>
            <w:pPr>
              <w:pStyle w:val="19"/>
              <w:jc w:val="right"/>
              <w:rPr>
                <w:rFonts w:ascii="Arial" w:hAnsi="Arial" w:cs="Arial"/>
                <w:sz w:val="22"/>
                <w:szCs w:val="22"/>
              </w:rPr>
            </w:pPr>
            <w:r>
              <w:rPr>
                <w:rFonts w:ascii="Arial" w:hAnsi="Arial" w:cs="Arial"/>
                <w:sz w:val="22"/>
                <w:szCs w:val="22"/>
              </w:rPr>
              <w:t xml:space="preserve">16.598 </w:t>
            </w:r>
          </w:p>
        </w:tc>
      </w:tr>
    </w:tbl>
    <w:p>
      <w:pPr>
        <w:pStyle w:val="4"/>
        <w:rPr>
          <w:rFonts w:ascii="Arial" w:hAnsi="Arial" w:cs="Arial"/>
          <w:sz w:val="22"/>
          <w:szCs w:val="22"/>
        </w:rPr>
      </w:pPr>
    </w:p>
    <w:p>
      <w:pPr>
        <w:rPr>
          <w:rFonts w:ascii="Arial" w:hAnsi="Arial" w:cs="Arial"/>
          <w:sz w:val="22"/>
          <w:szCs w:val="22"/>
        </w:rPr>
        <w:sectPr>
          <w:type w:val="continuous"/>
          <w:pgSz w:w="12240" w:h="15840"/>
          <w:pgMar w:top="567" w:right="567" w:bottom="567" w:left="1134" w:header="0" w:footer="0" w:gutter="0"/>
          <w:cols w:space="720" w:num="1"/>
          <w:formProt w:val="0"/>
          <w:docGrid w:linePitch="600" w:charSpace="32768"/>
        </w:sectPr>
      </w:pPr>
    </w:p>
    <w:p>
      <w:pPr>
        <w:pStyle w:val="4"/>
        <w:rPr>
          <w:rFonts w:ascii="Arial" w:hAnsi="Arial" w:cs="Arial"/>
          <w:sz w:val="22"/>
          <w:szCs w:val="22"/>
        </w:rPr>
      </w:pPr>
      <w:r>
        <w:rPr>
          <w:rFonts w:ascii="Arial" w:hAnsi="Arial" w:cs="Arial"/>
          <w:sz w:val="22"/>
          <w:szCs w:val="22"/>
        </w:rPr>
        <w:t xml:space="preserve">Wenn man bedenkt, dass die meisten Impfzwischenfälle </w:t>
      </w:r>
      <w:r>
        <w:rPr>
          <w:rFonts w:ascii="Arial" w:hAnsi="Arial" w:cs="Arial"/>
          <w:iCs/>
          <w:sz w:val="22"/>
          <w:szCs w:val="22"/>
        </w:rPr>
        <w:t xml:space="preserve">nicht </w:t>
      </w:r>
      <w:r>
        <w:rPr>
          <w:rFonts w:ascii="Arial" w:hAnsi="Arial" w:cs="Arial"/>
          <w:sz w:val="22"/>
          <w:szCs w:val="22"/>
        </w:rPr>
        <w:t xml:space="preserve">berichtet werden, wird klar, dass die Gefährlichkeit dieser Impfstoffe längst zweifelsfrei feststeht, und dass die einzig mögliche Konsequenz die Aussetzung der Impfungen ist. In jüngster Zeit haben die skandinavischen Länder und Island erste Schritte in dieser Richtung unternommen, leider nur halbherzig – sie haben die Verwendung des Moderna-Impfstoffes bei jungen Menschen oder, im Falle Islands, bei allen Menschen ausgesetzt. Der Hauptgrund dafür war das gehäufte Auftreten von Myokarditis, insbesondere bei jungen Männern </w:t>
      </w:r>
      <w:bookmarkStart w:id="13" w:name="cite11"/>
      <w:bookmarkEnd w:id="13"/>
      <w:r>
        <w:rPr>
          <w:rFonts w:ascii="Arial" w:hAnsi="Arial" w:cs="Arial"/>
          <w:sz w:val="22"/>
          <w:szCs w:val="22"/>
        </w:rPr>
        <w:t>[</w:t>
      </w:r>
      <w:r>
        <w:fldChar w:fldCharType="begin"/>
      </w:r>
      <w:r>
        <w:instrText xml:space="preserve"> HYPERLINK \l "ref16" \h </w:instrText>
      </w:r>
      <w:r>
        <w:fldChar w:fldCharType="separate"/>
      </w:r>
      <w:r>
        <w:rPr>
          <w:rStyle w:val="13"/>
          <w:rFonts w:ascii="Arial" w:hAnsi="Arial" w:cs="Arial"/>
          <w:sz w:val="22"/>
          <w:szCs w:val="22"/>
        </w:rPr>
        <w:t>16</w:t>
      </w:r>
      <w:r>
        <w:rPr>
          <w:rStyle w:val="13"/>
          <w:rFonts w:ascii="Arial" w:hAnsi="Arial" w:cs="Arial"/>
          <w:sz w:val="22"/>
          <w:szCs w:val="22"/>
        </w:rPr>
        <w:fldChar w:fldCharType="end"/>
      </w:r>
      <w:r>
        <w:rPr>
          <w:rFonts w:ascii="Arial" w:hAnsi="Arial" w:cs="Arial"/>
          <w:sz w:val="22"/>
          <w:szCs w:val="22"/>
        </w:rPr>
        <w:t>–</w:t>
      </w:r>
      <w:r>
        <w:fldChar w:fldCharType="begin"/>
      </w:r>
      <w:r>
        <w:instrText xml:space="preserve"> HYPERLINK \l "ref18" \h </w:instrText>
      </w:r>
      <w:r>
        <w:fldChar w:fldCharType="separate"/>
      </w:r>
      <w:r>
        <w:rPr>
          <w:rStyle w:val="13"/>
          <w:rFonts w:ascii="Arial" w:hAnsi="Arial" w:cs="Arial"/>
          <w:sz w:val="22"/>
          <w:szCs w:val="22"/>
        </w:rPr>
        <w:t>18</w:t>
      </w:r>
      <w:r>
        <w:rPr>
          <w:rStyle w:val="13"/>
          <w:rFonts w:ascii="Arial" w:hAnsi="Arial" w:cs="Arial"/>
          <w:sz w:val="22"/>
          <w:szCs w:val="22"/>
        </w:rPr>
        <w:fldChar w:fldCharType="end"/>
      </w:r>
      <w:r>
        <w:rPr>
          <w:rFonts w:ascii="Arial" w:hAnsi="Arial" w:cs="Arial"/>
          <w:sz w:val="22"/>
          <w:szCs w:val="22"/>
        </w:rPr>
        <w:t xml:space="preserve">]. Dieses ist aber nicht auf den Moderna-Impfstoff beschränkt. Die Fallzahlen für den Impfstoff von Pfizer sind ähnlich </w:t>
      </w:r>
      <w:bookmarkStart w:id="14" w:name="cite12"/>
      <w:bookmarkEnd w:id="14"/>
      <w:r>
        <w:rPr>
          <w:rFonts w:ascii="Arial" w:hAnsi="Arial" w:cs="Arial"/>
          <w:sz w:val="22"/>
          <w:szCs w:val="22"/>
        </w:rPr>
        <w:t>[</w:t>
      </w:r>
      <w:r>
        <w:fldChar w:fldCharType="begin"/>
      </w:r>
      <w:r>
        <w:instrText xml:space="preserve"> HYPERLINK \l "ref15" \h </w:instrText>
      </w:r>
      <w:r>
        <w:fldChar w:fldCharType="separate"/>
      </w:r>
      <w:r>
        <w:rPr>
          <w:rStyle w:val="13"/>
          <w:rFonts w:ascii="Arial" w:hAnsi="Arial" w:cs="Arial"/>
          <w:sz w:val="22"/>
          <w:szCs w:val="22"/>
        </w:rPr>
        <w:t>15</w:t>
      </w:r>
      <w:r>
        <w:rPr>
          <w:rStyle w:val="13"/>
          <w:rFonts w:ascii="Arial" w:hAnsi="Arial" w:cs="Arial"/>
          <w:sz w:val="22"/>
          <w:szCs w:val="22"/>
        </w:rPr>
        <w:fldChar w:fldCharType="end"/>
      </w:r>
      <w:r>
        <w:rPr>
          <w:rFonts w:ascii="Arial" w:hAnsi="Arial" w:cs="Arial"/>
          <w:sz w:val="22"/>
          <w:szCs w:val="22"/>
        </w:rPr>
        <w:t xml:space="preserve">]. In diesem Zusammenhang weisen wir auch auf einen kürzlich im </w:t>
      </w:r>
      <w:r>
        <w:rPr>
          <w:rFonts w:ascii="Arial" w:hAnsi="Arial" w:cs="Arial"/>
          <w:i/>
          <w:sz w:val="22"/>
          <w:szCs w:val="22"/>
        </w:rPr>
        <w:t>British Medical Journal</w:t>
      </w:r>
      <w:r>
        <w:rPr>
          <w:rFonts w:ascii="Arial" w:hAnsi="Arial" w:cs="Arial"/>
          <w:sz w:val="22"/>
          <w:szCs w:val="22"/>
        </w:rPr>
        <w:t xml:space="preserve"> erschienenen Artikel hin, der skandalöse Fehler in Pfizer’s hastig durchgeführten klinischen Studien ans Licht bringt </w:t>
      </w:r>
      <w:bookmarkStart w:id="15" w:name="cite13"/>
      <w:bookmarkEnd w:id="15"/>
      <w:r>
        <w:rPr>
          <w:rFonts w:ascii="Arial" w:hAnsi="Arial" w:cs="Arial"/>
          <w:sz w:val="22"/>
          <w:szCs w:val="22"/>
        </w:rPr>
        <w:t>[</w:t>
      </w:r>
      <w:r>
        <w:fldChar w:fldCharType="begin"/>
      </w:r>
      <w:r>
        <w:instrText xml:space="preserve"> HYPERLINK \l "ref19" \h </w:instrText>
      </w:r>
      <w:r>
        <w:fldChar w:fldCharType="separate"/>
      </w:r>
      <w:r>
        <w:rPr>
          <w:rStyle w:val="13"/>
          <w:rFonts w:ascii="Arial" w:hAnsi="Arial" w:cs="Arial"/>
          <w:sz w:val="22"/>
          <w:szCs w:val="22"/>
        </w:rPr>
        <w:t>19</w:t>
      </w:r>
      <w:r>
        <w:rPr>
          <w:rStyle w:val="13"/>
          <w:rFonts w:ascii="Arial" w:hAnsi="Arial" w:cs="Arial"/>
          <w:sz w:val="22"/>
          <w:szCs w:val="22"/>
        </w:rPr>
        <w:fldChar w:fldCharType="end"/>
      </w:r>
      <w:r>
        <w:rPr>
          <w:rFonts w:ascii="Arial" w:hAnsi="Arial" w:cs="Arial"/>
          <w:sz w:val="22"/>
          <w:szCs w:val="22"/>
        </w:rPr>
        <w:t xml:space="preserve">]: </w:t>
      </w:r>
    </w:p>
    <w:p>
      <w:pPr>
        <w:pStyle w:val="20"/>
        <w:rPr>
          <w:rFonts w:ascii="Arial" w:hAnsi="Arial" w:cs="Arial"/>
          <w:i/>
          <w:iCs/>
          <w:sz w:val="22"/>
          <w:szCs w:val="22"/>
        </w:rPr>
      </w:pPr>
      <w:r>
        <w:rPr>
          <w:rFonts w:ascii="Arial" w:hAnsi="Arial" w:cs="Arial"/>
          <w:i/>
          <w:iCs/>
          <w:sz w:val="22"/>
          <w:szCs w:val="22"/>
        </w:rPr>
        <w:t xml:space="preserve">Eine Regionaldirektorin, die bei der Firma Ventavia Research Group beschäftigt war, hat gegenüber dem BMJ erklärt, dass das Unternehmen [Pfizer] Daten gefälscht, Patienten entblindet, unzureichend geschulte Impfärzte eingesetzt und Impfzwischenfälle, die in der zulassungsrelevanten Phase-III der Pfizer-Studie auftraten, nur zögerlich verfolgt hat. </w:t>
      </w:r>
    </w:p>
    <w:p>
      <w:pPr>
        <w:pStyle w:val="4"/>
        <w:rPr>
          <w:rFonts w:ascii="Arial" w:hAnsi="Arial" w:cs="Arial"/>
          <w:sz w:val="22"/>
          <w:szCs w:val="22"/>
        </w:rPr>
      </w:pPr>
      <w:r>
        <w:rPr>
          <w:rFonts w:ascii="Arial" w:hAnsi="Arial" w:cs="Arial"/>
          <w:sz w:val="22"/>
          <w:szCs w:val="22"/>
        </w:rPr>
        <w:t xml:space="preserve">Neben Myokarditis gibt es noch viele andere schwerwiegende Nebenwirkungen – Schlaganfälle, Herzinfarkte, Lungenembolien, Verbrauchskoagulopathie; Fehlgeburten, Epilepsie, und sogar gastrointestinale Blutungen bei Stillkindern, deren Mütter die Impfung erhalten hatten. Die Übertragung der mRNA-Impfstoffe mit der Muttermilch wurde inzwischen direkt nachgewiesen </w:t>
      </w:r>
      <w:bookmarkStart w:id="16" w:name="cite14"/>
      <w:bookmarkEnd w:id="16"/>
      <w:r>
        <w:rPr>
          <w:rFonts w:ascii="Arial" w:hAnsi="Arial" w:cs="Arial"/>
          <w:sz w:val="22"/>
          <w:szCs w:val="22"/>
        </w:rPr>
        <w:t>[</w:t>
      </w:r>
      <w:r>
        <w:fldChar w:fldCharType="begin"/>
      </w:r>
      <w:r>
        <w:instrText xml:space="preserve"> HYPERLINK \l "ref20" \h </w:instrText>
      </w:r>
      <w:r>
        <w:fldChar w:fldCharType="separate"/>
      </w:r>
      <w:r>
        <w:rPr>
          <w:rStyle w:val="13"/>
          <w:rFonts w:ascii="Arial" w:hAnsi="Arial" w:cs="Arial"/>
          <w:sz w:val="22"/>
          <w:szCs w:val="22"/>
        </w:rPr>
        <w:t>20</w:t>
      </w:r>
      <w:r>
        <w:rPr>
          <w:rStyle w:val="13"/>
          <w:rFonts w:ascii="Arial" w:hAnsi="Arial" w:cs="Arial"/>
          <w:sz w:val="22"/>
          <w:szCs w:val="22"/>
        </w:rPr>
        <w:fldChar w:fldCharType="end"/>
      </w:r>
      <w:r>
        <w:rPr>
          <w:rFonts w:ascii="Arial" w:hAnsi="Arial" w:cs="Arial"/>
          <w:sz w:val="22"/>
          <w:szCs w:val="22"/>
        </w:rPr>
        <w:t xml:space="preserve">]. Ob mittel- bis langfristig weitere schwere Nebenwirkungen auftreten können, ist noch gänzlich unbekannt. </w:t>
      </w:r>
    </w:p>
    <w:p>
      <w:pPr>
        <w:pStyle w:val="4"/>
        <w:rPr>
          <w:rFonts w:ascii="Arial" w:hAnsi="Arial" w:cs="Arial"/>
          <w:sz w:val="22"/>
          <w:szCs w:val="22"/>
        </w:rPr>
      </w:pPr>
      <w:r>
        <w:rPr>
          <w:rFonts w:ascii="Arial" w:hAnsi="Arial" w:cs="Arial"/>
          <w:sz w:val="22"/>
          <w:szCs w:val="22"/>
        </w:rPr>
        <w:t xml:space="preserve">Wir bitten Sie eindringlich, vor diesen gravierenden Tatsachen nicht länger die Augen zu verschließen. Ziehen Sie jetzt die notwendigen Konsequenzen – warten Sie nicht, bis die medizinische und politische Obrigkeit zur Besinnung kommt! </w:t>
      </w:r>
    </w:p>
    <w:p>
      <w:pPr>
        <w:pStyle w:val="4"/>
        <w:rPr>
          <w:rFonts w:ascii="Arial" w:hAnsi="Arial" w:cs="Arial"/>
          <w:sz w:val="22"/>
          <w:szCs w:val="22"/>
        </w:rPr>
      </w:pPr>
      <w:r>
        <w:rPr>
          <w:rFonts w:ascii="Arial" w:hAnsi="Arial" w:cs="Arial"/>
          <w:sz w:val="22"/>
          <w:szCs w:val="22"/>
        </w:rPr>
        <w:t xml:space="preserve">Machen Sie sich nicht mitschuldig an der sinnlosen Verlängerung dieser verantwortungslosen Impfkampagne, die schon so viele Menschen ihre Gesundheit, und nicht wenige ihr Leben gekostet hat! </w:t>
      </w: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Mit freundlichen, kollegialen Grüßen,</w:t>
      </w: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 xml:space="preserve">Ihre ärztlichen Kolleginnen und Kollegen von MWGFD e.V., D4CE und ÄfA </w:t>
      </w:r>
    </w:p>
    <w:p>
      <w:pPr>
        <w:pStyle w:val="4"/>
        <w:rPr>
          <w:rFonts w:ascii="Arial" w:hAnsi="Arial" w:cs="Arial"/>
          <w:sz w:val="22"/>
          <w:szCs w:val="22"/>
        </w:rPr>
      </w:pPr>
    </w:p>
    <w:p>
      <w:pPr>
        <w:pStyle w:val="4"/>
        <w:rPr>
          <w:rFonts w:ascii="Arial" w:hAnsi="Arial" w:cs="Arial"/>
          <w:sz w:val="22"/>
          <w:szCs w:val="22"/>
        </w:rPr>
      </w:pPr>
      <w:r>
        <w:rPr>
          <w:rFonts w:ascii="Arial" w:hAnsi="Arial" w:cs="Arial"/>
          <w:sz w:val="22"/>
          <w:szCs w:val="22"/>
        </w:rPr>
        <w:t xml:space="preserve">P.S.: </w:t>
      </w:r>
      <w:r>
        <w:rPr>
          <w:rFonts w:ascii="Arial" w:hAnsi="Arial" w:cs="Arial"/>
          <w:b/>
          <w:bCs/>
          <w:sz w:val="22"/>
          <w:szCs w:val="22"/>
        </w:rPr>
        <w:t>Wichtiger Hinweis</w:t>
      </w:r>
      <w:r>
        <w:rPr>
          <w:rFonts w:ascii="Arial" w:hAnsi="Arial" w:cs="Arial"/>
          <w:sz w:val="22"/>
          <w:szCs w:val="22"/>
        </w:rPr>
        <w:t xml:space="preserve">: </w:t>
      </w:r>
      <w:r>
        <w:rPr>
          <w:rFonts w:ascii="Arial" w:hAnsi="Arial" w:cs="Arial"/>
          <w:sz w:val="22"/>
          <w:szCs w:val="22"/>
        </w:rPr>
        <w:br w:type="textWrapping"/>
      </w:r>
      <w:r>
        <w:rPr>
          <w:rFonts w:ascii="Arial" w:hAnsi="Arial" w:cs="Arial"/>
          <w:sz w:val="22"/>
          <w:szCs w:val="22"/>
        </w:rPr>
        <w:t xml:space="preserve">Auf der folgenden Seite sind als Referenzen die Online-Links sowie ein Hinweis zu deren Nutzung aufgeführt. </w:t>
      </w:r>
    </w:p>
    <w:p>
      <w:pPr>
        <w:pStyle w:val="5"/>
        <w:numPr>
          <w:ilvl w:val="0"/>
          <w:numId w:val="0"/>
        </w:numPr>
        <w:rPr>
          <w:rFonts w:ascii="Arial" w:hAnsi="Arial" w:cs="Arial"/>
          <w:sz w:val="22"/>
          <w:szCs w:val="22"/>
        </w:rPr>
      </w:pPr>
    </w:p>
    <w:p>
      <w:pPr>
        <w:pStyle w:val="4"/>
      </w:pPr>
      <w:r>
        <w:rPr>
          <w:rFonts w:ascii="Arial" w:hAnsi="Arial" w:cs="Arial"/>
          <w:b/>
          <w:bCs/>
          <w:sz w:val="22"/>
          <w:szCs w:val="22"/>
        </w:rPr>
        <w:t>Wichtiger Hinweis</w:t>
      </w:r>
      <w:r>
        <w:rPr>
          <w:rFonts w:ascii="Arial" w:hAnsi="Arial" w:cs="Arial"/>
          <w:sz w:val="22"/>
          <w:szCs w:val="22"/>
        </w:rPr>
        <w:t xml:space="preserve"> </w:t>
      </w:r>
      <w:r>
        <w:rPr>
          <w:rFonts w:ascii="Arial" w:hAnsi="Arial" w:cs="Arial"/>
          <w:b/>
          <w:bCs/>
          <w:sz w:val="22"/>
          <w:szCs w:val="22"/>
        </w:rPr>
        <w:t>zur Nutzung der Online-Links</w:t>
      </w:r>
      <w:r>
        <w:rPr>
          <w:rFonts w:ascii="Arial" w:hAnsi="Arial" w:cs="Arial"/>
          <w:sz w:val="22"/>
          <w:szCs w:val="22"/>
        </w:rPr>
        <w:t xml:space="preserve">: </w:t>
      </w:r>
      <w:r>
        <w:rPr>
          <w:rFonts w:ascii="Arial" w:hAnsi="Arial" w:cs="Arial"/>
          <w:sz w:val="22"/>
          <w:szCs w:val="22"/>
        </w:rPr>
        <w:br w:type="textWrapping"/>
      </w:r>
      <w:r>
        <w:rPr>
          <w:rFonts w:ascii="Arial" w:hAnsi="Arial" w:cs="Arial"/>
          <w:sz w:val="22"/>
          <w:szCs w:val="22"/>
        </w:rPr>
        <w:t>Die hier aufgelisteten Online-Links, finden Sie am einfachsten, wenn Sie dieses Dokument nochmal von der Webseite des MWGFD e.V. (</w:t>
      </w:r>
      <w:r>
        <w:fldChar w:fldCharType="begin"/>
      </w:r>
      <w:r>
        <w:instrText xml:space="preserve"> HYPERLINK "http://www.mwgfd.de" </w:instrText>
      </w:r>
      <w:r>
        <w:fldChar w:fldCharType="separate"/>
      </w:r>
      <w:r>
        <w:rPr>
          <w:rStyle w:val="13"/>
          <w:rFonts w:ascii="Arial" w:hAnsi="Arial" w:cs="Arial"/>
          <w:color w:val="auto"/>
          <w:sz w:val="22"/>
          <w:szCs w:val="22"/>
        </w:rPr>
        <w:t>www.mwgfd.de</w:t>
      </w:r>
      <w:r>
        <w:rPr>
          <w:rStyle w:val="13"/>
          <w:rFonts w:ascii="Arial" w:hAnsi="Arial" w:cs="Arial"/>
          <w:color w:val="auto"/>
          <w:sz w:val="22"/>
          <w:szCs w:val="22"/>
        </w:rPr>
        <w:fldChar w:fldCharType="end"/>
      </w:r>
      <w:r>
        <w:rPr>
          <w:rFonts w:ascii="Arial" w:hAnsi="Arial" w:cs="Arial"/>
          <w:sz w:val="22"/>
          <w:szCs w:val="22"/>
        </w:rPr>
        <w:t>) herunterladen und auf Ihrem Computer aufrufen. Dann einfach den Online-Link (blau und unterstrichen) markieren und mit der rechten Maustaste auf „Link öffnen“ klicken.</w:t>
      </w:r>
    </w:p>
    <w:p>
      <w:pPr>
        <w:pStyle w:val="5"/>
        <w:numPr>
          <w:ilvl w:val="0"/>
          <w:numId w:val="0"/>
        </w:numPr>
        <w:rPr>
          <w:rFonts w:ascii="Arial" w:hAnsi="Arial" w:cs="Arial"/>
          <w:sz w:val="22"/>
          <w:szCs w:val="22"/>
        </w:rPr>
      </w:pPr>
      <w:r>
        <w:rPr>
          <w:rFonts w:ascii="Arial" w:hAnsi="Arial" w:cs="Arial"/>
          <w:sz w:val="22"/>
          <w:szCs w:val="22"/>
        </w:rPr>
        <w:t>Referenzen</w:t>
      </w:r>
    </w:p>
    <w:p>
      <w:pPr>
        <w:pStyle w:val="4"/>
        <w:numPr>
          <w:ilvl w:val="0"/>
          <w:numId w:val="3"/>
        </w:numPr>
        <w:spacing w:after="0"/>
        <w:rPr>
          <w:rFonts w:ascii="Arial" w:hAnsi="Arial" w:cs="Arial"/>
          <w:sz w:val="22"/>
          <w:szCs w:val="22"/>
        </w:rPr>
      </w:pPr>
      <w:bookmarkStart w:id="17" w:name="ref1"/>
      <w:bookmarkEnd w:id="17"/>
      <w:r>
        <w:rPr>
          <w:rFonts w:ascii="Arial" w:hAnsi="Arial" w:cs="Arial"/>
          <w:sz w:val="22"/>
          <w:szCs w:val="22"/>
        </w:rPr>
        <w:t xml:space="preserve">Kostoff, R.N. et al. (2021) Why are we vaccinating children against COVID-19?. </w:t>
      </w:r>
      <w:r>
        <w:fldChar w:fldCharType="begin"/>
      </w:r>
      <w:r>
        <w:instrText xml:space="preserve"> HYPERLINK "https://www.ncbi.nlm.nih.gov/pubmed/?term=34540594" \t "_blank" \h </w:instrText>
      </w:r>
      <w:r>
        <w:fldChar w:fldCharType="separate"/>
      </w:r>
      <w:r>
        <w:rPr>
          <w:rStyle w:val="13"/>
          <w:rFonts w:ascii="Arial" w:hAnsi="Arial" w:cs="Arial"/>
          <w:i/>
          <w:sz w:val="22"/>
          <w:szCs w:val="22"/>
        </w:rPr>
        <w:t>Toxicol. Rep.</w:t>
      </w:r>
      <w:r>
        <w:rPr>
          <w:rStyle w:val="13"/>
          <w:rFonts w:ascii="Arial" w:hAnsi="Arial" w:cs="Arial"/>
          <w:sz w:val="22"/>
          <w:szCs w:val="22"/>
        </w:rPr>
        <w:t xml:space="preserve"> 8:1665-1684</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18" w:name="ref2"/>
      <w:bookmarkEnd w:id="18"/>
      <w:r>
        <w:rPr>
          <w:rFonts w:ascii="Arial" w:hAnsi="Arial" w:cs="Arial"/>
          <w:sz w:val="22"/>
          <w:szCs w:val="22"/>
        </w:rPr>
        <w:t xml:space="preserve">Grifoni, A. et al. (2020) Targets of T Cell Responses to SARS-CoV-2 Coronavirus in Humans with COVID-19 Disease and Unexposed Individuals. </w:t>
      </w:r>
      <w:r>
        <w:fldChar w:fldCharType="begin"/>
      </w:r>
      <w:r>
        <w:instrText xml:space="preserve"> HYPERLINK "http://dx.doi.org/10.1016/j.cell.2020.05.015" \t "_blank" \h </w:instrText>
      </w:r>
      <w:r>
        <w:fldChar w:fldCharType="separate"/>
      </w:r>
      <w:r>
        <w:rPr>
          <w:rStyle w:val="13"/>
          <w:rFonts w:ascii="Arial" w:hAnsi="Arial" w:cs="Arial"/>
          <w:i/>
          <w:sz w:val="22"/>
          <w:szCs w:val="22"/>
        </w:rPr>
        <w:t>Cell</w:t>
      </w:r>
      <w:r>
        <w:rPr>
          <w:rStyle w:val="13"/>
          <w:rFonts w:ascii="Arial" w:hAnsi="Arial" w:cs="Arial"/>
          <w:sz w:val="22"/>
          <w:szCs w:val="22"/>
        </w:rPr>
        <w:t xml:space="preserve"> 181:1489-1501.e15</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19" w:name="ref3"/>
      <w:bookmarkEnd w:id="19"/>
      <w:r>
        <w:rPr>
          <w:rFonts w:ascii="Arial" w:hAnsi="Arial" w:cs="Arial"/>
          <w:sz w:val="22"/>
          <w:szCs w:val="22"/>
        </w:rPr>
        <w:t xml:space="preserve">Nielsen, S.S. et al. (2021) SARS-CoV-2 elicits robust adaptive immune responses regardless of disease severity. </w:t>
      </w:r>
      <w:r>
        <w:fldChar w:fldCharType="begin"/>
      </w:r>
      <w:r>
        <w:instrText xml:space="preserve"> HYPERLINK "https://www.ncbi.nlm.nih.gov/pubmed/?term=34098342" \t "_blank" \h </w:instrText>
      </w:r>
      <w:r>
        <w:fldChar w:fldCharType="separate"/>
      </w:r>
      <w:r>
        <w:rPr>
          <w:rStyle w:val="13"/>
          <w:rFonts w:ascii="Arial" w:hAnsi="Arial" w:cs="Arial"/>
          <w:i/>
          <w:sz w:val="22"/>
          <w:szCs w:val="22"/>
        </w:rPr>
        <w:t>EBioMedicine</w:t>
      </w:r>
      <w:r>
        <w:rPr>
          <w:rStyle w:val="13"/>
          <w:rFonts w:ascii="Arial" w:hAnsi="Arial" w:cs="Arial"/>
          <w:sz w:val="22"/>
          <w:szCs w:val="22"/>
        </w:rPr>
        <w:t xml:space="preserve"> 68:103410</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0" w:name="ref4"/>
      <w:bookmarkEnd w:id="20"/>
      <w:r>
        <w:rPr>
          <w:rFonts w:ascii="Arial" w:hAnsi="Arial" w:cs="Arial"/>
          <w:sz w:val="22"/>
          <w:szCs w:val="22"/>
        </w:rPr>
        <w:t xml:space="preserve">Dugas, M. et al. (2021) Less severe course of COVID-19 is associated with elevated levels of antibodies against seasonal human coronaviruses OC43 and HKU1 (HCoV OC43, HCoV HKU1). </w:t>
      </w:r>
      <w:r>
        <w:fldChar w:fldCharType="begin"/>
      </w:r>
      <w:r>
        <w:instrText xml:space="preserve"> HYPERLINK "https://www.ncbi.nlm.nih.gov/pubmed/?term=33636357" \t "_blank" \h </w:instrText>
      </w:r>
      <w:r>
        <w:fldChar w:fldCharType="separate"/>
      </w:r>
      <w:r>
        <w:rPr>
          <w:rStyle w:val="13"/>
          <w:rFonts w:ascii="Arial" w:hAnsi="Arial" w:cs="Arial"/>
          <w:i/>
          <w:sz w:val="22"/>
          <w:szCs w:val="22"/>
        </w:rPr>
        <w:t>Int J Infect Dis</w:t>
      </w:r>
      <w:r>
        <w:rPr>
          <w:rStyle w:val="13"/>
          <w:rFonts w:ascii="Arial" w:hAnsi="Arial" w:cs="Arial"/>
          <w:sz w:val="22"/>
          <w:szCs w:val="22"/>
        </w:rPr>
        <w:t xml:space="preserve"> 105:304-306</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1" w:name="ref5"/>
      <w:bookmarkEnd w:id="21"/>
      <w:r>
        <w:rPr>
          <w:rFonts w:ascii="Arial" w:hAnsi="Arial" w:cs="Arial"/>
          <w:sz w:val="22"/>
          <w:szCs w:val="22"/>
        </w:rPr>
        <w:t xml:space="preserve">Dugas, M. et al. (2021) Lack of antibodies against seasonal coronavirus OC43 nucleocapsid protein identifies patients at risk of critical COVID-19. </w:t>
      </w:r>
      <w:r>
        <w:fldChar w:fldCharType="begin"/>
      </w:r>
      <w:r>
        <w:instrText xml:space="preserve"> HYPERLINK "https://www.ncbi.nlm.nih.gov/pubmed/?term=33965698" \t "_blank" \h </w:instrText>
      </w:r>
      <w:r>
        <w:fldChar w:fldCharType="separate"/>
      </w:r>
      <w:r>
        <w:rPr>
          <w:rStyle w:val="13"/>
          <w:rFonts w:ascii="Arial" w:hAnsi="Arial" w:cs="Arial"/>
          <w:i/>
          <w:sz w:val="22"/>
          <w:szCs w:val="22"/>
        </w:rPr>
        <w:t>J Clin Virol</w:t>
      </w:r>
      <w:r>
        <w:rPr>
          <w:rStyle w:val="13"/>
          <w:rFonts w:ascii="Arial" w:hAnsi="Arial" w:cs="Arial"/>
          <w:sz w:val="22"/>
          <w:szCs w:val="22"/>
        </w:rPr>
        <w:t xml:space="preserve"> 139:104847</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2" w:name="ref6"/>
      <w:bookmarkEnd w:id="22"/>
      <w:r>
        <w:rPr>
          <w:rFonts w:ascii="Arial" w:hAnsi="Arial" w:cs="Arial"/>
          <w:sz w:val="22"/>
          <w:szCs w:val="22"/>
        </w:rPr>
        <w:t xml:space="preserve">Yamaguchi, T. et al. (2021) Immunity against seasonal human coronavirus OC43 mitigates fatal deterioration of COVID-19. </w:t>
      </w:r>
      <w:r>
        <w:fldChar w:fldCharType="begin"/>
      </w:r>
      <w:r>
        <w:instrText xml:space="preserve"> HYPERLINK "https://www.ncbi.nlm.nih.gov/pubmed/?term=34273512" \t "_blank" \h </w:instrText>
      </w:r>
      <w:r>
        <w:fldChar w:fldCharType="separate"/>
      </w:r>
      <w:r>
        <w:rPr>
          <w:rStyle w:val="13"/>
          <w:rFonts w:ascii="Arial" w:hAnsi="Arial" w:cs="Arial"/>
          <w:i/>
          <w:sz w:val="22"/>
          <w:szCs w:val="22"/>
        </w:rPr>
        <w:t>Int J Infect Dis</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3" w:name="ref7"/>
      <w:bookmarkEnd w:id="23"/>
      <w:r>
        <w:rPr>
          <w:rFonts w:ascii="Arial" w:hAnsi="Arial" w:cs="Arial"/>
          <w:sz w:val="22"/>
          <w:szCs w:val="22"/>
        </w:rPr>
        <w:t xml:space="preserve">Yaqinuddin, A. (2020) Cross-immunity between respiratory coronaviruses may limit COVID-19 fatalities. </w:t>
      </w:r>
      <w:r>
        <w:fldChar w:fldCharType="begin"/>
      </w:r>
      <w:r>
        <w:instrText xml:space="preserve"> HYPERLINK "https://www.ncbi.nlm.nih.gov/pubmed/?term=32758887" \t "_blank" \h </w:instrText>
      </w:r>
      <w:r>
        <w:fldChar w:fldCharType="separate"/>
      </w:r>
      <w:r>
        <w:rPr>
          <w:rStyle w:val="13"/>
          <w:rFonts w:ascii="Arial" w:hAnsi="Arial" w:cs="Arial"/>
          <w:i/>
          <w:sz w:val="22"/>
          <w:szCs w:val="22"/>
        </w:rPr>
        <w:t>Med. Hypotheses</w:t>
      </w:r>
      <w:r>
        <w:rPr>
          <w:rStyle w:val="13"/>
          <w:rFonts w:ascii="Arial" w:hAnsi="Arial" w:cs="Arial"/>
          <w:sz w:val="22"/>
          <w:szCs w:val="22"/>
        </w:rPr>
        <w:t xml:space="preserve"> 144:110049</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4" w:name="ref8"/>
      <w:bookmarkEnd w:id="24"/>
      <w:r>
        <w:rPr>
          <w:rFonts w:ascii="Arial" w:hAnsi="Arial" w:cs="Arial"/>
          <w:sz w:val="22"/>
          <w:szCs w:val="22"/>
        </w:rPr>
        <w:t xml:space="preserve">Anonymous, (2021) </w:t>
      </w:r>
      <w:r>
        <w:fldChar w:fldCharType="begin"/>
      </w:r>
      <w:r>
        <w:instrText xml:space="preserve"> HYPERLINK "https://www.ema.europa.eu/en/documents/assessment-report/comirnaty-epar-public-assessment-report_en.pdf" \t "_blank" \h </w:instrText>
      </w:r>
      <w:r>
        <w:fldChar w:fldCharType="separate"/>
      </w:r>
      <w:r>
        <w:rPr>
          <w:rStyle w:val="13"/>
          <w:rFonts w:ascii="Arial" w:hAnsi="Arial" w:cs="Arial"/>
          <w:sz w:val="22"/>
          <w:szCs w:val="22"/>
        </w:rPr>
        <w:t>EMA Assessment report/Comirnaty</w:t>
      </w:r>
      <w:r>
        <w:rPr>
          <w:rStyle w:val="13"/>
          <w:rFonts w:ascii="Arial" w:hAnsi="Arial" w:cs="Arial"/>
          <w:sz w:val="22"/>
          <w:szCs w:val="22"/>
        </w:rPr>
        <w:fldChar w:fldCharType="end"/>
      </w:r>
      <w:r>
        <w:rPr>
          <w:rFonts w:ascii="Arial" w:hAnsi="Arial" w:cs="Arial"/>
          <w:sz w:val="22"/>
          <w:szCs w:val="22"/>
        </w:rPr>
        <w:t xml:space="preserve">. </w:t>
      </w:r>
    </w:p>
    <w:p>
      <w:pPr>
        <w:pStyle w:val="4"/>
        <w:spacing w:after="0"/>
        <w:ind w:left="360"/>
        <w:rPr>
          <w:rFonts w:ascii="Arial" w:hAnsi="Arial" w:cs="Arial"/>
          <w:sz w:val="22"/>
          <w:szCs w:val="22"/>
        </w:rPr>
      </w:pPr>
      <w:bookmarkStart w:id="25" w:name="ref9"/>
      <w:bookmarkEnd w:id="25"/>
      <w:r>
        <w:rPr>
          <w:rFonts w:ascii="Arial" w:hAnsi="Arial" w:cs="Arial"/>
          <w:sz w:val="22"/>
          <w:szCs w:val="22"/>
        </w:rPr>
        <w:t xml:space="preserve">      Anonymous, (2021) </w:t>
      </w:r>
      <w:r>
        <w:fldChar w:fldCharType="begin"/>
      </w:r>
      <w:r>
        <w:instrText xml:space="preserve"> HYPERLINK "https://www.ema.europa.eu/en/documents/assessment-report/spikevax-previously-covid-19-vaccine-moderna-epar-public-assessment-report_en.pdf" \t "_blank" \h </w:instrText>
      </w:r>
      <w:r>
        <w:fldChar w:fldCharType="separate"/>
      </w:r>
      <w:r>
        <w:rPr>
          <w:rStyle w:val="13"/>
          <w:rFonts w:ascii="Arial" w:hAnsi="Arial" w:cs="Arial"/>
          <w:sz w:val="22"/>
          <w:szCs w:val="22"/>
        </w:rPr>
        <w:t>EMA Assessment report/COVID-19 Vaccine Moderna</w:t>
      </w:r>
      <w:r>
        <w:rPr>
          <w:rStyle w:val="13"/>
          <w:rFonts w:ascii="Arial" w:hAnsi="Arial" w:cs="Arial"/>
          <w:sz w:val="22"/>
          <w:szCs w:val="22"/>
        </w:rPr>
        <w:fldChar w:fldCharType="end"/>
      </w:r>
      <w:r>
        <w:rPr>
          <w:rFonts w:ascii="Arial" w:hAnsi="Arial" w:cs="Arial"/>
          <w:sz w:val="22"/>
          <w:szCs w:val="22"/>
        </w:rPr>
        <w:t xml:space="preserve">. </w:t>
      </w:r>
    </w:p>
    <w:p>
      <w:pPr>
        <w:pStyle w:val="4"/>
        <w:spacing w:after="0"/>
        <w:ind w:left="360"/>
        <w:rPr>
          <w:rFonts w:ascii="Arial" w:hAnsi="Arial" w:cs="Arial"/>
          <w:sz w:val="22"/>
          <w:szCs w:val="22"/>
        </w:rPr>
      </w:pPr>
      <w:bookmarkStart w:id="26" w:name="ref10"/>
      <w:bookmarkEnd w:id="26"/>
      <w:r>
        <w:rPr>
          <w:rFonts w:ascii="Arial" w:hAnsi="Arial" w:cs="Arial"/>
          <w:sz w:val="22"/>
          <w:szCs w:val="22"/>
        </w:rPr>
        <w:t xml:space="preserve">      Palmer, M. et al. (2021) </w:t>
      </w:r>
      <w:r>
        <w:rPr>
          <w:rFonts w:ascii="Arial" w:hAnsi="Arial" w:cs="Arial"/>
          <w:sz w:val="22"/>
          <w:szCs w:val="22"/>
        </w:rPr>
        <w:br w:type="textWrapping"/>
      </w:r>
      <w:r>
        <w:rPr>
          <w:rFonts w:ascii="Arial" w:hAnsi="Arial" w:cs="Arial"/>
          <w:sz w:val="22"/>
          <w:szCs w:val="22"/>
        </w:rPr>
        <w:t xml:space="preserve">      </w:t>
      </w:r>
      <w:r>
        <w:fldChar w:fldCharType="begin"/>
      </w:r>
      <w:r>
        <w:instrText xml:space="preserve"> HYPERLINK "https://doctors4covidethics.org/expert-evidence-regarding-comirnaty-covid-19-mrna-vaccine-for-children/" \t "_blank" \h </w:instrText>
      </w:r>
      <w:r>
        <w:fldChar w:fldCharType="separate"/>
      </w:r>
      <w:r>
        <w:rPr>
          <w:rStyle w:val="13"/>
          <w:rFonts w:ascii="Arial" w:hAnsi="Arial" w:cs="Arial"/>
          <w:sz w:val="22"/>
          <w:szCs w:val="22"/>
        </w:rPr>
        <w:t>Expert evidence regarding Comirnaty (Pfizer) COVID-19 mRNA Vaccine for children</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7" w:name="ref11"/>
      <w:bookmarkEnd w:id="27"/>
      <w:r>
        <w:rPr>
          <w:rFonts w:ascii="Arial" w:hAnsi="Arial" w:cs="Arial"/>
          <w:sz w:val="22"/>
          <w:szCs w:val="22"/>
        </w:rPr>
        <w:t xml:space="preserve">Palmer, M. and Bhakdi, S. (2021) </w:t>
      </w:r>
      <w:r>
        <w:fldChar w:fldCharType="begin"/>
      </w:r>
      <w:r>
        <w:instrText xml:space="preserve"> HYPERLINK "https://doctors4covidethics.org/expert-statement-regarding-the-use-of-moderna-covid-19-mrna-vaccine-in-children/" \t "_blank" \h </w:instrText>
      </w:r>
      <w:r>
        <w:fldChar w:fldCharType="separate"/>
      </w:r>
      <w:r>
        <w:rPr>
          <w:rStyle w:val="13"/>
          <w:rFonts w:ascii="Arial" w:hAnsi="Arial" w:cs="Arial"/>
          <w:sz w:val="22"/>
          <w:szCs w:val="22"/>
        </w:rPr>
        <w:t>Expert statement regarding the use of Moderna COVID-19-mRNA-Vaccine in children</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8" w:name="ref12"/>
      <w:bookmarkEnd w:id="28"/>
      <w:r>
        <w:rPr>
          <w:rFonts w:ascii="Arial" w:hAnsi="Arial" w:cs="Arial"/>
          <w:sz w:val="22"/>
          <w:szCs w:val="22"/>
        </w:rPr>
        <w:t xml:space="preserve">Brown, C.M. et al. (2021) Outbreak of SARS-CoV-2 Infections, Including COVID-19 Vaccine Breakthrough Infections, Associated with Large Public Gatherings—Barnstable County, Massachusetts, July 2021. </w:t>
      </w:r>
      <w:r>
        <w:fldChar w:fldCharType="begin"/>
      </w:r>
      <w:r>
        <w:instrText xml:space="preserve"> HYPERLINK "https://www.ncbi.nlm.nih.gov/pubmed/?term=34351882" \t "_blank" \h </w:instrText>
      </w:r>
      <w:r>
        <w:fldChar w:fldCharType="separate"/>
      </w:r>
      <w:r>
        <w:rPr>
          <w:rStyle w:val="13"/>
          <w:rFonts w:ascii="Arial" w:hAnsi="Arial" w:cs="Arial"/>
          <w:i/>
          <w:sz w:val="22"/>
          <w:szCs w:val="22"/>
        </w:rPr>
        <w:t>MMWR. Morbidity and mortality weekly report</w:t>
      </w:r>
      <w:r>
        <w:rPr>
          <w:rStyle w:val="13"/>
          <w:rFonts w:ascii="Arial" w:hAnsi="Arial" w:cs="Arial"/>
          <w:sz w:val="22"/>
          <w:szCs w:val="22"/>
        </w:rPr>
        <w:t xml:space="preserve"> 70:1059-1062</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29" w:name="ref13"/>
      <w:bookmarkEnd w:id="29"/>
      <w:r>
        <w:rPr>
          <w:rFonts w:ascii="Arial" w:hAnsi="Arial" w:cs="Arial"/>
          <w:sz w:val="22"/>
          <w:szCs w:val="22"/>
        </w:rPr>
        <w:t xml:space="preserve">Subramanian, S.V. and Kumar, A. (2021) Increases in COVID-19 are unrelated to levels of vaccination across 68 countries and 2947 counties in the United States. </w:t>
      </w:r>
      <w:r>
        <w:fldChar w:fldCharType="begin"/>
      </w:r>
      <w:r>
        <w:instrText xml:space="preserve"> HYPERLINK "http://dx.doi.org/10.1007/s10654-021-00808-7" \t "_blank" \h </w:instrText>
      </w:r>
      <w:r>
        <w:fldChar w:fldCharType="separate"/>
      </w:r>
      <w:r>
        <w:rPr>
          <w:rStyle w:val="13"/>
          <w:rFonts w:ascii="Arial" w:hAnsi="Arial" w:cs="Arial"/>
          <w:i/>
          <w:sz w:val="22"/>
          <w:szCs w:val="22"/>
        </w:rPr>
        <w:t>Eur. J. Epidemiol.</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0" w:name="ref14"/>
      <w:bookmarkEnd w:id="30"/>
      <w:r>
        <w:rPr>
          <w:rFonts w:ascii="Arial" w:hAnsi="Arial" w:cs="Arial"/>
          <w:sz w:val="22"/>
          <w:szCs w:val="22"/>
        </w:rPr>
        <w:t xml:space="preserve">Hoffe, C. (2021) </w:t>
      </w:r>
      <w:r>
        <w:fldChar w:fldCharType="begin"/>
      </w:r>
      <w:r>
        <w:instrText xml:space="preserve"> HYPERLINK "https://vaccinechoicecanada.com/wp-content/uploads/vcc-open-letter-dr-hoffe-to-dr-henry-april-5-2021.pdf" \t "_blank" \h </w:instrText>
      </w:r>
      <w:r>
        <w:fldChar w:fldCharType="separate"/>
      </w:r>
      <w:r>
        <w:rPr>
          <w:rStyle w:val="13"/>
          <w:rFonts w:ascii="Arial" w:hAnsi="Arial" w:cs="Arial"/>
          <w:sz w:val="22"/>
          <w:szCs w:val="22"/>
        </w:rPr>
        <w:t>Open letter to Dr. Bonnie Henry</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1" w:name="ref15"/>
      <w:bookmarkEnd w:id="31"/>
      <w:r>
        <w:rPr>
          <w:rFonts w:ascii="Arial" w:hAnsi="Arial" w:cs="Arial"/>
          <w:sz w:val="22"/>
          <w:szCs w:val="22"/>
        </w:rPr>
        <w:t xml:space="preserve">Anonymous, (2021) </w:t>
      </w:r>
      <w:r>
        <w:fldChar w:fldCharType="begin"/>
      </w:r>
      <w:r>
        <w:instrText xml:space="preserve"> HYPERLINK "https://www.openvaers.com/" \t "_blank" \h </w:instrText>
      </w:r>
      <w:r>
        <w:fldChar w:fldCharType="separate"/>
      </w:r>
      <w:r>
        <w:rPr>
          <w:rStyle w:val="13"/>
          <w:rFonts w:ascii="Arial" w:hAnsi="Arial" w:cs="Arial"/>
          <w:sz w:val="22"/>
          <w:szCs w:val="22"/>
        </w:rPr>
        <w:t>OpenVAERS</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2" w:name="ref16"/>
      <w:bookmarkEnd w:id="32"/>
      <w:r>
        <w:rPr>
          <w:rFonts w:ascii="Arial" w:hAnsi="Arial" w:cs="Arial"/>
          <w:sz w:val="22"/>
          <w:szCs w:val="22"/>
        </w:rPr>
        <w:t xml:space="preserve">Avolio, E. et al. (2020) The SARS-CoV-2 Spike protein disrupts human cardiac pericytes function through CD147-receptor-mediated signalling: a potential non-infective mechanism of COVID-19 microvascular disease. </w:t>
      </w:r>
      <w:r>
        <w:fldChar w:fldCharType="begin"/>
      </w:r>
      <w:r>
        <w:instrText xml:space="preserve"> HYPERLINK "http://dx.doi.org/10.1101/2020.12.21.423721" \t "_blank" \h </w:instrText>
      </w:r>
      <w:r>
        <w:fldChar w:fldCharType="separate"/>
      </w:r>
      <w:r>
        <w:rPr>
          <w:rStyle w:val="13"/>
          <w:rFonts w:ascii="Arial" w:hAnsi="Arial" w:cs="Arial"/>
          <w:i/>
          <w:sz w:val="22"/>
          <w:szCs w:val="22"/>
        </w:rPr>
        <w:t>bioRxiv</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3" w:name="ref17"/>
      <w:bookmarkEnd w:id="33"/>
      <w:r>
        <w:rPr>
          <w:rFonts w:ascii="Arial" w:hAnsi="Arial" w:cs="Arial"/>
          <w:sz w:val="22"/>
          <w:szCs w:val="22"/>
        </w:rPr>
        <w:t xml:space="preserve">Kafil, T. et al. (2021) mRNA COVID-19 Vaccination and Development of CMR-confirmed Myopericarditis. </w:t>
      </w:r>
      <w:r>
        <w:fldChar w:fldCharType="begin"/>
      </w:r>
      <w:r>
        <w:instrText xml:space="preserve"> HYPERLINK "http://dx.doi.org/10.1101/2021.09.13.21262182" \t "_blank" \h </w:instrText>
      </w:r>
      <w:r>
        <w:fldChar w:fldCharType="separate"/>
      </w:r>
      <w:r>
        <w:rPr>
          <w:rStyle w:val="13"/>
          <w:rFonts w:ascii="Arial" w:hAnsi="Arial" w:cs="Arial"/>
          <w:i/>
          <w:sz w:val="22"/>
          <w:szCs w:val="22"/>
        </w:rPr>
        <w:t>medRxiv</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4" w:name="ref18"/>
      <w:bookmarkEnd w:id="34"/>
      <w:r>
        <w:rPr>
          <w:rFonts w:ascii="Arial" w:hAnsi="Arial" w:cs="Arial"/>
          <w:sz w:val="22"/>
          <w:szCs w:val="22"/>
        </w:rPr>
        <w:t xml:space="preserve">Li, C. et al. (2021) Intravenous injection of COVID-19 mRNA vaccine can induce acute myopericarditis in mouse model. </w:t>
      </w:r>
      <w:r>
        <w:fldChar w:fldCharType="begin"/>
      </w:r>
      <w:r>
        <w:instrText xml:space="preserve"> HYPERLINK "https://www.ncbi.nlm.nih.gov/pubmed/?term=34406358" \t "_blank" \h </w:instrText>
      </w:r>
      <w:r>
        <w:fldChar w:fldCharType="separate"/>
      </w:r>
      <w:r>
        <w:rPr>
          <w:rStyle w:val="13"/>
          <w:rFonts w:ascii="Arial" w:hAnsi="Arial" w:cs="Arial"/>
          <w:i/>
          <w:sz w:val="22"/>
          <w:szCs w:val="22"/>
        </w:rPr>
        <w:t>Clin. Infect. Dis.</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spacing w:after="0"/>
        <w:rPr>
          <w:rFonts w:ascii="Arial" w:hAnsi="Arial" w:cs="Arial"/>
          <w:sz w:val="22"/>
          <w:szCs w:val="22"/>
        </w:rPr>
      </w:pPr>
      <w:bookmarkStart w:id="35" w:name="ref19"/>
      <w:bookmarkEnd w:id="35"/>
      <w:r>
        <w:rPr>
          <w:rFonts w:ascii="Arial" w:hAnsi="Arial" w:cs="Arial"/>
          <w:sz w:val="22"/>
          <w:szCs w:val="22"/>
        </w:rPr>
        <w:t xml:space="preserve">Thacker, P.D. (2021) Covid-19: Researcher blows the whistle on data integrity issues in Pfizer’s vaccine trial. </w:t>
      </w:r>
      <w:r>
        <w:fldChar w:fldCharType="begin"/>
      </w:r>
      <w:r>
        <w:instrText xml:space="preserve"> HYPERLINK "http://dx.doi.org/10.1136/bmj.n2635" \t "_blank" \h </w:instrText>
      </w:r>
      <w:r>
        <w:fldChar w:fldCharType="separate"/>
      </w:r>
      <w:r>
        <w:rPr>
          <w:rStyle w:val="13"/>
          <w:rFonts w:ascii="Arial" w:hAnsi="Arial" w:cs="Arial"/>
          <w:i/>
          <w:sz w:val="22"/>
          <w:szCs w:val="22"/>
        </w:rPr>
        <w:t>BMJ</w:t>
      </w:r>
      <w:r>
        <w:rPr>
          <w:rStyle w:val="13"/>
          <w:rFonts w:ascii="Arial" w:hAnsi="Arial" w:cs="Arial"/>
          <w:sz w:val="22"/>
          <w:szCs w:val="22"/>
        </w:rPr>
        <w:t xml:space="preserve"> p. n2635</w:t>
      </w:r>
      <w:r>
        <w:rPr>
          <w:rStyle w:val="13"/>
          <w:rFonts w:ascii="Arial" w:hAnsi="Arial" w:cs="Arial"/>
          <w:sz w:val="22"/>
          <w:szCs w:val="22"/>
        </w:rPr>
        <w:fldChar w:fldCharType="end"/>
      </w:r>
      <w:r>
        <w:rPr>
          <w:rFonts w:ascii="Arial" w:hAnsi="Arial" w:cs="Arial"/>
          <w:sz w:val="22"/>
          <w:szCs w:val="22"/>
        </w:rPr>
        <w:t xml:space="preserve"> </w:t>
      </w:r>
    </w:p>
    <w:p>
      <w:pPr>
        <w:pStyle w:val="4"/>
        <w:numPr>
          <w:ilvl w:val="0"/>
          <w:numId w:val="3"/>
        </w:numPr>
        <w:rPr>
          <w:rFonts w:ascii="Arial" w:hAnsi="Arial" w:cs="Arial"/>
        </w:rPr>
      </w:pPr>
      <w:bookmarkStart w:id="36" w:name="ref20"/>
      <w:bookmarkEnd w:id="36"/>
      <w:r>
        <w:rPr>
          <w:rFonts w:ascii="Arial" w:hAnsi="Arial" w:cs="Arial"/>
          <w:sz w:val="22"/>
          <w:szCs w:val="22"/>
        </w:rPr>
        <w:t xml:space="preserve">Low, J.M. et al. (2021) BNT162b2 vaccination induces SARS-CoV-2 specific antibody secretion into human milk with minimal transfer of vaccine mRNA. </w:t>
      </w:r>
      <w:r>
        <w:fldChar w:fldCharType="begin"/>
      </w:r>
      <w:r>
        <w:instrText xml:space="preserve"> HYPERLINK "http://dx.doi.org/10.1101/2021.04.27.21256151" \t "_blank" \h </w:instrText>
      </w:r>
      <w:r>
        <w:fldChar w:fldCharType="separate"/>
      </w:r>
      <w:r>
        <w:rPr>
          <w:rStyle w:val="13"/>
          <w:rFonts w:ascii="Arial" w:hAnsi="Arial" w:cs="Arial"/>
          <w:i/>
          <w:sz w:val="22"/>
          <w:szCs w:val="22"/>
        </w:rPr>
        <w:t>medRxiv</w:t>
      </w:r>
      <w:r>
        <w:rPr>
          <w:rStyle w:val="13"/>
          <w:rFonts w:ascii="Arial" w:hAnsi="Arial" w:cs="Arial"/>
          <w:sz w:val="22"/>
          <w:szCs w:val="22"/>
        </w:rPr>
        <w:t xml:space="preserve"> (Vorabdruck)</w:t>
      </w:r>
      <w:r>
        <w:rPr>
          <w:rStyle w:val="13"/>
          <w:rFonts w:ascii="Arial" w:hAnsi="Arial" w:cs="Arial"/>
          <w:sz w:val="22"/>
          <w:szCs w:val="22"/>
        </w:rPr>
        <w:fldChar w:fldCharType="end"/>
      </w:r>
      <w:r>
        <w:rPr>
          <w:rFonts w:ascii="Arial" w:hAnsi="Arial" w:cs="Arial"/>
        </w:rPr>
        <w:t xml:space="preserve"> </w:t>
      </w:r>
    </w:p>
    <w:sectPr>
      <w:type w:val="continuous"/>
      <w:pgSz w:w="12240" w:h="15840"/>
      <w:pgMar w:top="567" w:right="567" w:bottom="567" w:left="1134" w:header="0" w:footer="0" w:gutter="0"/>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Sans">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oto Serif CJK SC">
    <w:altName w:val="Cambria"/>
    <w:panose1 w:val="00000000000000000000"/>
    <w:charset w:val="86"/>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OpenSymbol">
    <w:altName w:val="Segoe UI Symbol"/>
    <w:panose1 w:val="00000000000000000000"/>
    <w:charset w:val="01"/>
    <w:family w:val="roman"/>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00004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beforeAutospacing="0" w:after="0" w:afterAutospacing="0"/>
      <w:jc w:val="center"/>
    </w:pPr>
    <w:r>
      <w:rPr>
        <w:rFonts w:ascii="Arial" w:hAnsi="Arial" w:cs="Arial"/>
        <w:color w:val="A6A6A6" w:themeColor="background1" w:themeShade="A6"/>
        <w:sz w:val="24"/>
        <w:szCs w:val="24"/>
      </w:rPr>
      <w:t xml:space="preserve">ViSdP: MWGFD e.V., Wittgasse 9, 94032 Passau    </w:t>
    </w:r>
    <w:r>
      <w:fldChar w:fldCharType="begin"/>
    </w:r>
    <w:r>
      <w:instrText xml:space="preserve"> HYPERLINK "http://www.mwgfd.de" </w:instrText>
    </w:r>
    <w:r>
      <w:fldChar w:fldCharType="separate"/>
    </w:r>
    <w:r>
      <w:rPr>
        <w:rStyle w:val="13"/>
        <w:rFonts w:ascii="Arial" w:hAnsi="Arial" w:cs="Arial"/>
        <w:color w:val="A6A6A6" w:themeColor="background1" w:themeShade="A6"/>
        <w:sz w:val="24"/>
        <w:szCs w:val="24"/>
        <w:u w:val="none"/>
      </w:rPr>
      <w:t>www.mwgfd.de</w:t>
    </w:r>
    <w:r>
      <w:rPr>
        <w:rStyle w:val="13"/>
        <w:rFonts w:ascii="Arial" w:hAnsi="Arial" w:cs="Arial"/>
        <w:color w:val="A6A6A6" w:themeColor="background1" w:themeShade="A6"/>
        <w:sz w:val="24"/>
        <w:szCs w:val="24"/>
        <w:u w:val="none"/>
      </w:rPr>
      <w:fldChar w:fldCharType="end"/>
    </w:r>
  </w:p>
  <w:p>
    <w:pPr>
      <w:pStyle w:val="15"/>
      <w:spacing w:before="0" w:beforeAutospacing="0" w:after="0" w:afterAutospacing="0"/>
    </w:pPr>
    <w:r>
      <w:t>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tabs>
        <w:tab w:val="left" w:pos="3525"/>
        <w:tab w:val="right" w:pos="10539"/>
      </w:tabs>
      <w:jc w:val="right"/>
    </w:pPr>
    <w:r>
      <w:drawing>
        <wp:inline distT="0" distB="0" distL="0" distR="0">
          <wp:extent cx="1377315" cy="1898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stretch>
                    <a:fillRect/>
                  </a:stretch>
                </pic:blipFill>
                <pic:spPr>
                  <a:xfrm>
                    <a:off x="0" y="0"/>
                    <a:ext cx="1440407" cy="198518"/>
                  </a:xfrm>
                  <a:prstGeom prst="rect">
                    <a:avLst/>
                  </a:prstGeom>
                </pic:spPr>
              </pic:pic>
            </a:graphicData>
          </a:graphic>
        </wp:inline>
      </w:drawing>
    </w:r>
    <w:r>
      <w:t xml:space="preserve">   </w:t>
    </w:r>
    <w:r>
      <w:drawing>
        <wp:inline distT="0" distB="0" distL="0" distR="0">
          <wp:extent cx="771525" cy="349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90919" cy="358197"/>
                  </a:xfrm>
                  <a:prstGeom prst="rect">
                    <a:avLst/>
                  </a:prstGeom>
                  <a:noFill/>
                  <a:ln>
                    <a:noFill/>
                  </a:ln>
                </pic:spPr>
              </pic:pic>
            </a:graphicData>
          </a:graphic>
        </wp:inline>
      </w:drawing>
    </w:r>
    <w:r>
      <w:t xml:space="preserve">   </w:t>
    </w:r>
    <w:r>
      <w:drawing>
        <wp:inline distT="0" distB="0" distL="0" distR="0">
          <wp:extent cx="1046480" cy="3429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3"/>
                  <a:stretch>
                    <a:fillRect/>
                  </a:stretch>
                </pic:blipFill>
                <pic:spPr>
                  <a:xfrm>
                    <a:off x="0" y="0"/>
                    <a:ext cx="1055150" cy="345653"/>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019DC"/>
    <w:multiLevelType w:val="multilevel"/>
    <w:tmpl w:val="144019DC"/>
    <w:lvl w:ilvl="0" w:tentative="0">
      <w:start w:val="1"/>
      <w:numFmt w:val="none"/>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32CB5F05"/>
    <w:multiLevelType w:val="multilevel"/>
    <w:tmpl w:val="32CB5F05"/>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510B67F4"/>
    <w:multiLevelType w:val="multilevel"/>
    <w:tmpl w:val="510B67F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3F"/>
    <w:rsid w:val="00111133"/>
    <w:rsid w:val="0016440E"/>
    <w:rsid w:val="002262AE"/>
    <w:rsid w:val="002B6567"/>
    <w:rsid w:val="002D668C"/>
    <w:rsid w:val="00392409"/>
    <w:rsid w:val="004D14E0"/>
    <w:rsid w:val="00507A09"/>
    <w:rsid w:val="005230F1"/>
    <w:rsid w:val="00644D55"/>
    <w:rsid w:val="006D45BA"/>
    <w:rsid w:val="006D4F5B"/>
    <w:rsid w:val="006F6CB4"/>
    <w:rsid w:val="007316E2"/>
    <w:rsid w:val="007736E6"/>
    <w:rsid w:val="00891544"/>
    <w:rsid w:val="0091257E"/>
    <w:rsid w:val="009A730D"/>
    <w:rsid w:val="00A4253F"/>
    <w:rsid w:val="00B02D8F"/>
    <w:rsid w:val="00BB5DE6"/>
    <w:rsid w:val="00C40894"/>
    <w:rsid w:val="00C61CB8"/>
    <w:rsid w:val="00D22720"/>
    <w:rsid w:val="00ED3CE5"/>
    <w:rsid w:val="00EE2340"/>
    <w:rsid w:val="00FE68C2"/>
    <w:rsid w:val="24EB1AE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oto Serif CJK SC" w:cs="Lucida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overflowPunct w:val="0"/>
    </w:pPr>
    <w:rPr>
      <w:rFonts w:ascii="Liberation Serif" w:hAnsi="Liberation Serif" w:eastAsia="Noto Serif CJK SC" w:cs="LucidaSans"/>
      <w:kern w:val="2"/>
      <w:sz w:val="24"/>
      <w:szCs w:val="24"/>
      <w:lang w:val="de-DE" w:eastAsia="zh-CN" w:bidi="hi-IN"/>
    </w:rPr>
  </w:style>
  <w:style w:type="paragraph" w:styleId="2">
    <w:name w:val="heading 1"/>
    <w:basedOn w:val="3"/>
    <w:next w:val="4"/>
    <w:qFormat/>
    <w:uiPriority w:val="0"/>
    <w:pPr>
      <w:spacing w:before="240" w:after="120"/>
      <w:outlineLvl w:val="0"/>
    </w:pPr>
    <w:rPr>
      <w:b/>
      <w:bCs/>
      <w:sz w:val="36"/>
      <w:szCs w:val="44"/>
    </w:rPr>
  </w:style>
  <w:style w:type="paragraph" w:styleId="5">
    <w:name w:val="heading 2"/>
    <w:basedOn w:val="3"/>
    <w:next w:val="4"/>
    <w:qFormat/>
    <w:uiPriority w:val="0"/>
    <w:pPr>
      <w:numPr>
        <w:ilvl w:val="1"/>
        <w:numId w:val="1"/>
      </w:numPr>
      <w:spacing w:before="198"/>
      <w:outlineLvl w:val="1"/>
    </w:pPr>
    <w:rPr>
      <w:rFonts w:eastAsia="Noto Serif CJK SC"/>
      <w:b/>
      <w:bCs/>
      <w:sz w:val="28"/>
      <w:szCs w:val="36"/>
    </w:rPr>
  </w:style>
  <w:style w:type="paragraph" w:styleId="6">
    <w:name w:val="heading 3"/>
    <w:basedOn w:val="3"/>
    <w:next w:val="4"/>
    <w:qFormat/>
    <w:uiPriority w:val="0"/>
    <w:pPr>
      <w:numPr>
        <w:ilvl w:val="2"/>
        <w:numId w:val="1"/>
      </w:numPr>
      <w:spacing w:before="170"/>
      <w:outlineLvl w:val="2"/>
    </w:pPr>
    <w:rPr>
      <w:rFonts w:eastAsia="Noto Serif CJK SC"/>
      <w:b/>
      <w:bC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113" w:after="113"/>
    </w:pPr>
    <w:rPr>
      <w:rFonts w:ascii="Liberation Sans" w:hAnsi="Liberation Sans" w:eastAsia="Noto Sans CJK SC Regular"/>
      <w:color w:val="5983B0"/>
      <w:szCs w:val="28"/>
    </w:rPr>
  </w:style>
  <w:style w:type="paragraph" w:styleId="4">
    <w:name w:val="Body Text"/>
    <w:basedOn w:val="1"/>
    <w:uiPriority w:val="0"/>
    <w:pPr>
      <w:spacing w:after="140" w:line="276" w:lineRule="auto"/>
    </w:pPr>
  </w:style>
  <w:style w:type="paragraph" w:styleId="9">
    <w:name w:val="caption"/>
    <w:basedOn w:val="1"/>
    <w:next w:val="1"/>
    <w:qFormat/>
    <w:uiPriority w:val="0"/>
    <w:pPr>
      <w:suppressLineNumbers/>
      <w:spacing w:before="120" w:after="120"/>
    </w:pPr>
    <w:rPr>
      <w:i/>
      <w:iCs/>
    </w:rPr>
  </w:style>
  <w:style w:type="character" w:styleId="10">
    <w:name w:val="FollowedHyperlink"/>
    <w:basedOn w:val="7"/>
    <w:semiHidden/>
    <w:unhideWhenUsed/>
    <w:uiPriority w:val="99"/>
    <w:rPr>
      <w:color w:val="800080" w:themeColor="followedHyperlink"/>
      <w:u w:val="single"/>
      <w14:textFill>
        <w14:solidFill>
          <w14:schemeClr w14:val="folHlink"/>
        </w14:solidFill>
      </w14:textFill>
    </w:rPr>
  </w:style>
  <w:style w:type="paragraph" w:styleId="11">
    <w:name w:val="footer"/>
    <w:basedOn w:val="1"/>
    <w:link w:val="22"/>
    <w:unhideWhenUsed/>
    <w:uiPriority w:val="99"/>
    <w:pPr>
      <w:tabs>
        <w:tab w:val="center" w:pos="4536"/>
        <w:tab w:val="right" w:pos="9072"/>
      </w:tabs>
    </w:pPr>
    <w:rPr>
      <w:rFonts w:cs="Mangal"/>
      <w:szCs w:val="21"/>
    </w:rPr>
  </w:style>
  <w:style w:type="paragraph" w:styleId="12">
    <w:name w:val="header"/>
    <w:basedOn w:val="1"/>
    <w:link w:val="21"/>
    <w:unhideWhenUsed/>
    <w:uiPriority w:val="99"/>
    <w:pPr>
      <w:tabs>
        <w:tab w:val="center" w:pos="4536"/>
        <w:tab w:val="right" w:pos="9072"/>
      </w:tabs>
    </w:pPr>
    <w:rPr>
      <w:rFonts w:cs="Mangal"/>
      <w:szCs w:val="21"/>
    </w:rPr>
  </w:style>
  <w:style w:type="character" w:styleId="13">
    <w:name w:val="Hyperlink"/>
    <w:uiPriority w:val="0"/>
    <w:rPr>
      <w:color w:val="000080"/>
      <w:u w:val="single"/>
    </w:rPr>
  </w:style>
  <w:style w:type="paragraph" w:styleId="14">
    <w:name w:val="List"/>
    <w:basedOn w:val="4"/>
    <w:uiPriority w:val="0"/>
  </w:style>
  <w:style w:type="paragraph" w:styleId="15">
    <w:name w:val="Normal (Web)"/>
    <w:basedOn w:val="1"/>
    <w:semiHidden/>
    <w:unhideWhenUsed/>
    <w:qFormat/>
    <w:uiPriority w:val="99"/>
    <w:pPr>
      <w:suppressAutoHyphens w:val="0"/>
      <w:overflowPunct/>
      <w:spacing w:before="100" w:beforeAutospacing="1" w:after="100" w:afterAutospacing="1"/>
    </w:pPr>
    <w:rPr>
      <w:rFonts w:ascii="Calibri" w:hAnsi="Calibri" w:cs="Calibri" w:eastAsiaTheme="minorHAnsi"/>
      <w:kern w:val="0"/>
      <w:sz w:val="22"/>
      <w:szCs w:val="22"/>
      <w:lang w:eastAsia="de-DE" w:bidi="ar-SA"/>
    </w:rPr>
  </w:style>
  <w:style w:type="character" w:customStyle="1" w:styleId="16">
    <w:name w:val="Numbering Symbols"/>
    <w:qFormat/>
    <w:uiPriority w:val="0"/>
  </w:style>
  <w:style w:type="character" w:customStyle="1" w:styleId="17">
    <w:name w:val="Bullets"/>
    <w:qFormat/>
    <w:uiPriority w:val="0"/>
    <w:rPr>
      <w:rFonts w:ascii="OpenSymbol" w:hAnsi="OpenSymbol" w:eastAsia="OpenSymbol" w:cs="OpenSymbol"/>
    </w:rPr>
  </w:style>
  <w:style w:type="paragraph" w:customStyle="1" w:styleId="18">
    <w:name w:val="Index"/>
    <w:basedOn w:val="1"/>
    <w:qFormat/>
    <w:uiPriority w:val="0"/>
    <w:pPr>
      <w:suppressLineNumbers/>
    </w:pPr>
  </w:style>
  <w:style w:type="paragraph" w:customStyle="1" w:styleId="19">
    <w:name w:val="Table Contents"/>
    <w:basedOn w:val="1"/>
    <w:qFormat/>
    <w:uiPriority w:val="0"/>
    <w:pPr>
      <w:widowControl w:val="0"/>
      <w:suppressLineNumbers/>
    </w:pPr>
  </w:style>
  <w:style w:type="paragraph" w:customStyle="1" w:styleId="20">
    <w:name w:val="Quotations"/>
    <w:basedOn w:val="1"/>
    <w:qFormat/>
    <w:uiPriority w:val="0"/>
    <w:pPr>
      <w:spacing w:after="283"/>
      <w:ind w:left="567" w:right="567"/>
    </w:pPr>
  </w:style>
  <w:style w:type="character" w:customStyle="1" w:styleId="21">
    <w:name w:val="Kopfzeile Zchn"/>
    <w:basedOn w:val="7"/>
    <w:link w:val="12"/>
    <w:uiPriority w:val="99"/>
    <w:rPr>
      <w:rFonts w:cs="Mangal"/>
      <w:szCs w:val="21"/>
    </w:rPr>
  </w:style>
  <w:style w:type="character" w:customStyle="1" w:styleId="22">
    <w:name w:val="Fußzeile Zchn"/>
    <w:basedOn w:val="7"/>
    <w:link w:val="11"/>
    <w:uiPriority w:val="99"/>
    <w:rPr>
      <w:rFonts w:cs="Mangal"/>
      <w:szCs w:val="21"/>
    </w:rPr>
  </w:style>
  <w:style w:type="character" w:customStyle="1" w:styleId="2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1825</Words>
  <Characters>11498</Characters>
  <Lines>95</Lines>
  <Paragraphs>26</Paragraphs>
  <TotalTime>3</TotalTime>
  <ScaleCrop>false</ScaleCrop>
  <LinksUpToDate>false</LinksUpToDate>
  <CharactersWithSpaces>13297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2021-11-08T07:55:00Z</dcterms:created>
  <dc:creator>Michael Palmer</dc:creator>
  <cp:lastModifiedBy>privat</cp:lastModifiedBy>
  <dcterms:modified xsi:type="dcterms:W3CDTF">2021-11-10T06:42:46Z</dcterms:modified>
  <dc:title>basedoc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B1F133EBE9754B2CA46B778C7C9E9D42</vt:lpwstr>
  </property>
</Properties>
</file>